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D67BCB">
      <w:pPr>
        <w:tabs>
          <w:tab w:val="left" w:pos="1770"/>
        </w:tabs>
        <w:spacing w:line="500" w:lineRule="exact"/>
        <w:jc w:val="center"/>
        <w:outlineLvl w:val="0"/>
        <w:rPr>
          <w:rFonts w:hint="eastAsia" w:ascii="FangSong_GB2312" w:eastAsia="FangSong_GB2312"/>
          <w:b/>
          <w:sz w:val="36"/>
          <w:szCs w:val="36"/>
          <w:highlight w:val="none"/>
          <w:lang w:eastAsia="zh-CN"/>
        </w:rPr>
      </w:pPr>
      <w:bookmarkStart w:id="0" w:name="_GoBack"/>
      <w:r>
        <w:rPr>
          <w:rFonts w:hint="eastAsia" w:ascii="FangSong_GB2312" w:eastAsia="FangSong_GB2312"/>
          <w:b/>
          <w:sz w:val="36"/>
          <w:szCs w:val="36"/>
          <w:highlight w:val="none"/>
          <w:lang w:eastAsia="zh-CN"/>
        </w:rPr>
        <w:t>农药采购协议</w:t>
      </w:r>
    </w:p>
    <w:p w14:paraId="2D164E90">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6160" w:firstLineChars="2200"/>
        <w:jc w:val="left"/>
        <w:textAlignment w:val="auto"/>
        <w:rPr>
          <w:rFonts w:hint="eastAsia" w:ascii="仿宋" w:hAnsi="仿宋" w:eastAsia="仿宋" w:cs="仿宋"/>
          <w:color w:val="000000"/>
          <w:kern w:val="0"/>
          <w:sz w:val="28"/>
          <w:szCs w:val="28"/>
          <w:highlight w:val="none"/>
          <w:shd w:val="clear" w:color="auto" w:fill="FFFFFF"/>
          <w:lang w:val="zh-CN" w:eastAsia="zh-CN" w:bidi="ar-SA"/>
        </w:rPr>
      </w:pPr>
      <w:r>
        <w:rPr>
          <w:rFonts w:hint="eastAsia" w:ascii="仿宋" w:hAnsi="仿宋" w:eastAsia="仿宋" w:cs="仿宋"/>
          <w:color w:val="000000"/>
          <w:kern w:val="0"/>
          <w:sz w:val="28"/>
          <w:szCs w:val="28"/>
          <w:highlight w:val="none"/>
          <w:shd w:val="clear" w:color="auto" w:fill="FFFFFF"/>
          <w:lang w:val="zh-CN" w:eastAsia="zh-CN" w:bidi="ar-SA"/>
        </w:rPr>
        <w:t>合同编号：</w:t>
      </w:r>
    </w:p>
    <w:p w14:paraId="3DEA3F6A">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default" w:ascii="仿宋" w:hAnsi="仿宋" w:eastAsia="仿宋" w:cs="仿宋"/>
          <w:color w:val="000000"/>
          <w:kern w:val="0"/>
          <w:sz w:val="28"/>
          <w:szCs w:val="28"/>
          <w:highlight w:val="none"/>
          <w:shd w:val="clear" w:color="auto" w:fill="FFFFFF"/>
          <w:lang w:val="en-US" w:eastAsia="zh-CN" w:bidi="ar-SA"/>
        </w:rPr>
      </w:pPr>
      <w:r>
        <w:rPr>
          <w:rFonts w:hint="eastAsia" w:ascii="仿宋" w:hAnsi="仿宋" w:eastAsia="仿宋" w:cs="仿宋"/>
          <w:color w:val="000000"/>
          <w:kern w:val="0"/>
          <w:sz w:val="28"/>
          <w:szCs w:val="28"/>
          <w:highlight w:val="none"/>
          <w:shd w:val="clear" w:color="auto" w:fill="FFFFFF"/>
          <w:lang w:val="zh-CN" w:eastAsia="zh-CN" w:bidi="ar-SA"/>
        </w:rPr>
        <w:t>购买方（甲方）：</w:t>
      </w:r>
      <w:r>
        <w:rPr>
          <w:rFonts w:hint="eastAsia" w:ascii="仿宋" w:hAnsi="仿宋" w:eastAsia="仿宋" w:cs="仿宋"/>
          <w:color w:val="000000"/>
          <w:kern w:val="0"/>
          <w:sz w:val="28"/>
          <w:szCs w:val="28"/>
          <w:highlight w:val="none"/>
          <w:u w:val="single"/>
          <w:shd w:val="clear" w:color="auto" w:fill="FFFFFF"/>
          <w:lang w:val="en-US" w:eastAsia="zh-CN" w:bidi="ar-SA"/>
        </w:rPr>
        <w:t>连云港市工投集团青口投资有限公司</w:t>
      </w:r>
      <w:r>
        <w:rPr>
          <w:rFonts w:hint="eastAsia" w:ascii="仿宋" w:hAnsi="仿宋" w:eastAsia="仿宋" w:cs="仿宋"/>
          <w:color w:val="000000"/>
          <w:kern w:val="0"/>
          <w:sz w:val="28"/>
          <w:szCs w:val="28"/>
          <w:highlight w:val="none"/>
          <w:shd w:val="clear" w:color="auto" w:fill="FFFFFF"/>
          <w:lang w:val="en-US" w:eastAsia="zh-CN" w:bidi="ar-SA"/>
        </w:rPr>
        <w:t xml:space="preserve">   </w:t>
      </w:r>
    </w:p>
    <w:p w14:paraId="4AB2759B">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default" w:ascii="仿宋" w:hAnsi="仿宋" w:eastAsia="仿宋" w:cs="仿宋"/>
          <w:color w:val="000000"/>
          <w:kern w:val="0"/>
          <w:sz w:val="28"/>
          <w:szCs w:val="28"/>
          <w:highlight w:val="none"/>
          <w:shd w:val="clear" w:color="auto" w:fill="FFFFFF"/>
          <w:lang w:val="en-US" w:eastAsia="zh-CN" w:bidi="ar-SA"/>
        </w:rPr>
      </w:pPr>
      <w:r>
        <w:rPr>
          <w:rFonts w:hint="eastAsia" w:ascii="仿宋" w:hAnsi="仿宋" w:eastAsia="仿宋" w:cs="仿宋"/>
          <w:color w:val="000000"/>
          <w:kern w:val="0"/>
          <w:sz w:val="28"/>
          <w:szCs w:val="28"/>
          <w:highlight w:val="none"/>
          <w:shd w:val="clear" w:color="auto" w:fill="FFFFFF"/>
          <w:lang w:val="zh-CN" w:eastAsia="zh-CN" w:bidi="ar-SA"/>
        </w:rPr>
        <w:t>供货方（乙方）：</w:t>
      </w:r>
      <w:r>
        <w:rPr>
          <w:rFonts w:hint="eastAsia" w:ascii="仿宋" w:hAnsi="仿宋" w:eastAsia="仿宋" w:cs="仿宋"/>
          <w:color w:val="000000"/>
          <w:kern w:val="0"/>
          <w:sz w:val="28"/>
          <w:szCs w:val="28"/>
          <w:highlight w:val="none"/>
          <w:u w:val="single"/>
          <w:shd w:val="clear" w:color="auto" w:fill="FFFFFF"/>
          <w:lang w:val="en-US" w:eastAsia="zh-CN" w:bidi="ar-SA"/>
        </w:rPr>
        <w:t xml:space="preserve">                                </w:t>
      </w:r>
      <w:r>
        <w:rPr>
          <w:rFonts w:hint="eastAsia" w:ascii="仿宋" w:hAnsi="仿宋" w:eastAsia="仿宋" w:cs="仿宋"/>
          <w:color w:val="000000"/>
          <w:kern w:val="0"/>
          <w:sz w:val="28"/>
          <w:szCs w:val="28"/>
          <w:highlight w:val="none"/>
          <w:shd w:val="clear" w:color="auto" w:fill="FFFFFF"/>
          <w:lang w:val="en-US" w:eastAsia="zh-CN" w:bidi="ar-SA"/>
        </w:rPr>
        <w:t xml:space="preserve">   </w:t>
      </w:r>
    </w:p>
    <w:p w14:paraId="6F0A9B11">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zh-CN" w:eastAsia="zh-CN" w:bidi="ar-SA"/>
        </w:rPr>
      </w:pPr>
      <w:r>
        <w:rPr>
          <w:rFonts w:hint="eastAsia" w:ascii="仿宋" w:hAnsi="仿宋" w:eastAsia="仿宋" w:cs="仿宋"/>
          <w:color w:val="000000"/>
          <w:kern w:val="0"/>
          <w:sz w:val="28"/>
          <w:szCs w:val="28"/>
          <w:highlight w:val="none"/>
          <w:shd w:val="clear" w:color="auto" w:fill="FFFFFF"/>
          <w:lang w:val="zh-CN" w:eastAsia="zh-CN" w:bidi="ar-SA"/>
        </w:rPr>
        <w:t>根据《中华人民共和国民法典》、《中华人民共和国质量法》、《中华人民共和国农药管理条例》及有关规定，为明确双方权利义务，经双方一致协商后签订本合同，内容如下：</w:t>
      </w:r>
    </w:p>
    <w:p w14:paraId="5A58B077">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zh-CN" w:eastAsia="zh-CN" w:bidi="ar-SA"/>
        </w:rPr>
      </w:pPr>
      <w:r>
        <w:rPr>
          <w:rFonts w:hint="eastAsia" w:ascii="仿宋" w:hAnsi="仿宋" w:eastAsia="仿宋" w:cs="仿宋"/>
          <w:color w:val="000000"/>
          <w:kern w:val="0"/>
          <w:sz w:val="28"/>
          <w:szCs w:val="28"/>
          <w:highlight w:val="none"/>
          <w:shd w:val="clear" w:color="auto" w:fill="FFFFFF"/>
          <w:lang w:val="zh-CN" w:eastAsia="zh-CN" w:bidi="ar-SA"/>
        </w:rPr>
        <w:t>一、农药采购基本情况：</w:t>
      </w:r>
    </w:p>
    <w:p w14:paraId="43D66A69">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en-US" w:eastAsia="zh-CN" w:bidi="ar-SA"/>
        </w:rPr>
      </w:pPr>
      <w:r>
        <w:rPr>
          <w:rFonts w:hint="eastAsia" w:ascii="仿宋" w:hAnsi="仿宋" w:eastAsia="仿宋" w:cs="仿宋"/>
          <w:color w:val="000000"/>
          <w:kern w:val="0"/>
          <w:sz w:val="28"/>
          <w:szCs w:val="28"/>
          <w:highlight w:val="none"/>
          <w:shd w:val="clear" w:color="auto" w:fill="FFFFFF"/>
          <w:lang w:val="zh-CN" w:eastAsia="zh-CN" w:bidi="ar-SA"/>
        </w:rPr>
        <w:t>签订合同后</w:t>
      </w:r>
      <w:r>
        <w:rPr>
          <w:rFonts w:hint="eastAsia" w:ascii="仿宋" w:hAnsi="仿宋" w:eastAsia="仿宋" w:cs="仿宋"/>
          <w:color w:val="000000"/>
          <w:kern w:val="0"/>
          <w:sz w:val="28"/>
          <w:szCs w:val="28"/>
          <w:highlight w:val="none"/>
          <w:shd w:val="clear" w:color="auto" w:fill="FFFFFF"/>
          <w:lang w:val="en-US" w:eastAsia="zh-CN" w:bidi="ar-SA"/>
        </w:rPr>
        <w:t>依据需求单位安排</w:t>
      </w:r>
      <w:r>
        <w:rPr>
          <w:rFonts w:hint="eastAsia" w:ascii="仿宋" w:hAnsi="仿宋" w:eastAsia="仿宋" w:cs="仿宋"/>
          <w:color w:val="000000"/>
          <w:kern w:val="0"/>
          <w:sz w:val="28"/>
          <w:szCs w:val="28"/>
          <w:highlight w:val="none"/>
          <w:shd w:val="clear" w:color="auto" w:fill="FFFFFF"/>
          <w:lang w:val="zh-CN" w:eastAsia="zh-CN" w:bidi="ar-SA"/>
        </w:rPr>
        <w:t>送货到</w:t>
      </w:r>
      <w:r>
        <w:rPr>
          <w:rFonts w:hint="eastAsia" w:ascii="仿宋" w:hAnsi="仿宋" w:eastAsia="仿宋" w:cs="仿宋"/>
          <w:color w:val="000000"/>
          <w:kern w:val="0"/>
          <w:sz w:val="28"/>
          <w:szCs w:val="28"/>
          <w:highlight w:val="none"/>
          <w:shd w:val="clear" w:color="auto" w:fill="FFFFFF"/>
          <w:lang w:val="en-US" w:eastAsia="zh-CN" w:bidi="ar-SA"/>
        </w:rPr>
        <w:t>所需方</w:t>
      </w:r>
      <w:r>
        <w:rPr>
          <w:rFonts w:hint="eastAsia" w:ascii="仿宋" w:hAnsi="仿宋" w:eastAsia="仿宋" w:cs="仿宋"/>
          <w:color w:val="000000"/>
          <w:kern w:val="0"/>
          <w:sz w:val="28"/>
          <w:szCs w:val="28"/>
          <w:highlight w:val="none"/>
          <w:shd w:val="clear" w:color="auto" w:fill="FFFFFF"/>
          <w:lang w:val="zh-CN" w:eastAsia="zh-CN" w:bidi="ar-SA"/>
        </w:rPr>
        <w:t>仓库（以实收数量为准）。具体采购项目如下：</w:t>
      </w:r>
    </w:p>
    <w:tbl>
      <w:tblPr>
        <w:tblStyle w:val="6"/>
        <w:tblW w:w="9015" w:type="dxa"/>
        <w:tblInd w:w="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575"/>
        <w:gridCol w:w="1335"/>
        <w:gridCol w:w="1215"/>
        <w:gridCol w:w="1095"/>
        <w:gridCol w:w="1395"/>
        <w:gridCol w:w="1860"/>
      </w:tblGrid>
      <w:tr w14:paraId="2A6F5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540" w:type="dxa"/>
            <w:noWrap w:val="0"/>
            <w:vAlign w:val="center"/>
          </w:tcPr>
          <w:p w14:paraId="49AD70F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序号</w:t>
            </w:r>
          </w:p>
        </w:tc>
        <w:tc>
          <w:tcPr>
            <w:tcW w:w="1575" w:type="dxa"/>
            <w:noWrap w:val="0"/>
            <w:vAlign w:val="center"/>
          </w:tcPr>
          <w:p w14:paraId="5960EFF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rPr>
              <w:t>名称</w:t>
            </w:r>
          </w:p>
        </w:tc>
        <w:tc>
          <w:tcPr>
            <w:tcW w:w="1335" w:type="dxa"/>
            <w:noWrap w:val="0"/>
            <w:vAlign w:val="center"/>
          </w:tcPr>
          <w:p w14:paraId="1F8913D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规格</w:t>
            </w:r>
          </w:p>
        </w:tc>
        <w:tc>
          <w:tcPr>
            <w:tcW w:w="1215" w:type="dxa"/>
            <w:noWrap w:val="0"/>
            <w:vAlign w:val="center"/>
          </w:tcPr>
          <w:p w14:paraId="6019A2A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单位</w:t>
            </w:r>
          </w:p>
        </w:tc>
        <w:tc>
          <w:tcPr>
            <w:tcW w:w="1095" w:type="dxa"/>
            <w:noWrap w:val="0"/>
            <w:vAlign w:val="center"/>
          </w:tcPr>
          <w:p w14:paraId="009229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数量</w:t>
            </w:r>
          </w:p>
        </w:tc>
        <w:tc>
          <w:tcPr>
            <w:tcW w:w="1395" w:type="dxa"/>
            <w:noWrap w:val="0"/>
            <w:vAlign w:val="center"/>
          </w:tcPr>
          <w:p w14:paraId="297EC9E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单价</w:t>
            </w:r>
          </w:p>
          <w:p w14:paraId="422721B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含税</w:t>
            </w:r>
            <w:r>
              <w:rPr>
                <w:rFonts w:hint="eastAsia" w:ascii="宋体" w:hAnsi="宋体" w:eastAsia="宋体" w:cs="宋体"/>
                <w:sz w:val="24"/>
                <w:szCs w:val="24"/>
                <w:highlight w:val="none"/>
                <w:lang w:eastAsia="zh-CN"/>
              </w:rPr>
              <w:t>）</w:t>
            </w:r>
          </w:p>
        </w:tc>
        <w:tc>
          <w:tcPr>
            <w:tcW w:w="1860" w:type="dxa"/>
            <w:noWrap w:val="0"/>
            <w:vAlign w:val="center"/>
          </w:tcPr>
          <w:p w14:paraId="0B0E96D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金额（元）</w:t>
            </w:r>
          </w:p>
        </w:tc>
      </w:tr>
      <w:tr w14:paraId="491BA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540" w:type="dxa"/>
            <w:noWrap w:val="0"/>
            <w:vAlign w:val="center"/>
          </w:tcPr>
          <w:p w14:paraId="64C30BCB">
            <w:pPr>
              <w:keepNext w:val="0"/>
              <w:keepLines w:val="0"/>
              <w:widowControl/>
              <w:suppressLineNumbers w:val="0"/>
              <w:jc w:val="center"/>
              <w:textAlignment w:val="center"/>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1</w:t>
            </w:r>
          </w:p>
        </w:tc>
        <w:tc>
          <w:tcPr>
            <w:tcW w:w="1575" w:type="dxa"/>
            <w:shd w:val="clear" w:color="auto" w:fill="auto"/>
            <w:noWrap w:val="0"/>
            <w:vAlign w:val="center"/>
          </w:tcPr>
          <w:p w14:paraId="5D8E2C79">
            <w:pPr>
              <w:keepNext w:val="0"/>
              <w:keepLines w:val="0"/>
              <w:widowControl/>
              <w:suppressLineNumbers w:val="0"/>
              <w:jc w:val="center"/>
              <w:textAlignment w:val="center"/>
              <w:rPr>
                <w:rFonts w:hint="eastAsia" w:ascii="宋体" w:hAnsi="宋体" w:eastAsia="宋体" w:cs="宋体"/>
                <w:color w:val="333333"/>
                <w:kern w:val="0"/>
                <w:sz w:val="21"/>
                <w:szCs w:val="21"/>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丙硫·吡唑酯·噻虫胺</w:t>
            </w:r>
          </w:p>
        </w:tc>
        <w:tc>
          <w:tcPr>
            <w:tcW w:w="1335" w:type="dxa"/>
            <w:shd w:val="clear" w:color="auto" w:fill="auto"/>
            <w:noWrap w:val="0"/>
            <w:vAlign w:val="center"/>
          </w:tcPr>
          <w:p w14:paraId="712DD0FF">
            <w:pPr>
              <w:keepNext w:val="0"/>
              <w:keepLines w:val="0"/>
              <w:widowControl/>
              <w:suppressLineNumbers w:val="0"/>
              <w:jc w:val="center"/>
              <w:textAlignment w:val="center"/>
              <w:rPr>
                <w:rFonts w:hint="eastAsia" w:ascii="宋体" w:hAnsi="宋体" w:eastAsia="宋体" w:cs="宋体"/>
                <w:color w:val="333333"/>
                <w:kern w:val="0"/>
                <w:sz w:val="21"/>
                <w:szCs w:val="21"/>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5kg/桶</w:t>
            </w:r>
          </w:p>
        </w:tc>
        <w:tc>
          <w:tcPr>
            <w:tcW w:w="1215" w:type="dxa"/>
            <w:shd w:val="clear" w:color="auto" w:fill="auto"/>
            <w:noWrap w:val="0"/>
            <w:vAlign w:val="center"/>
          </w:tcPr>
          <w:p w14:paraId="3AC1DA29">
            <w:pPr>
              <w:keepNext w:val="0"/>
              <w:keepLines w:val="0"/>
              <w:widowControl/>
              <w:suppressLineNumbers w:val="0"/>
              <w:jc w:val="center"/>
              <w:textAlignment w:val="center"/>
              <w:rPr>
                <w:rFonts w:hint="eastAsia" w:ascii="宋体" w:hAnsi="宋体" w:eastAsia="宋体" w:cs="宋体"/>
                <w:color w:val="333333"/>
                <w:kern w:val="0"/>
                <w:sz w:val="21"/>
                <w:szCs w:val="21"/>
                <w:highlight w:val="none"/>
                <w:lang w:val="en-US" w:eastAsia="zh-CN" w:bidi="ar"/>
              </w:rPr>
            </w:pPr>
            <w:r>
              <w:rPr>
                <w:rFonts w:hint="eastAsia" w:ascii="宋体" w:hAnsi="宋体" w:cs="宋体"/>
                <w:i w:val="0"/>
                <w:iCs w:val="0"/>
                <w:color w:val="000000"/>
                <w:kern w:val="0"/>
                <w:sz w:val="22"/>
                <w:szCs w:val="22"/>
                <w:u w:val="none"/>
                <w:lang w:val="en-US" w:eastAsia="zh-CN" w:bidi="ar"/>
              </w:rPr>
              <w:t>桶</w:t>
            </w:r>
          </w:p>
        </w:tc>
        <w:tc>
          <w:tcPr>
            <w:tcW w:w="1095" w:type="dxa"/>
            <w:shd w:val="clear" w:color="auto" w:fill="auto"/>
            <w:noWrap w:val="0"/>
            <w:vAlign w:val="center"/>
          </w:tcPr>
          <w:p w14:paraId="1EA9475A">
            <w:pPr>
              <w:keepNext w:val="0"/>
              <w:keepLines w:val="0"/>
              <w:widowControl/>
              <w:suppressLineNumbers w:val="0"/>
              <w:jc w:val="center"/>
              <w:textAlignment w:val="center"/>
              <w:rPr>
                <w:rFonts w:hint="default" w:ascii="宋体" w:hAnsi="宋体" w:eastAsia="宋体" w:cs="宋体"/>
                <w:color w:val="333333"/>
                <w:kern w:val="0"/>
                <w:sz w:val="21"/>
                <w:szCs w:val="21"/>
                <w:highlight w:val="none"/>
                <w:lang w:val="en-US" w:eastAsia="zh-CN" w:bidi="ar"/>
              </w:rPr>
            </w:pPr>
            <w:r>
              <w:rPr>
                <w:rFonts w:hint="eastAsia" w:ascii="宋体" w:hAnsi="宋体" w:cs="宋体"/>
                <w:i w:val="0"/>
                <w:iCs w:val="0"/>
                <w:color w:val="000000"/>
                <w:kern w:val="0"/>
                <w:sz w:val="22"/>
                <w:szCs w:val="22"/>
                <w:u w:val="none"/>
                <w:lang w:val="en-US" w:eastAsia="zh-CN" w:bidi="ar"/>
              </w:rPr>
              <w:t>41</w:t>
            </w:r>
          </w:p>
        </w:tc>
        <w:tc>
          <w:tcPr>
            <w:tcW w:w="1395" w:type="dxa"/>
            <w:noWrap w:val="0"/>
            <w:vAlign w:val="center"/>
          </w:tcPr>
          <w:p w14:paraId="09AB1CC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rPr>
            </w:pPr>
          </w:p>
        </w:tc>
        <w:tc>
          <w:tcPr>
            <w:tcW w:w="1860" w:type="dxa"/>
            <w:noWrap w:val="0"/>
            <w:vAlign w:val="center"/>
          </w:tcPr>
          <w:p w14:paraId="0DB5BE6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highlight w:val="none"/>
                <w:lang w:val="en-US" w:eastAsia="zh-CN"/>
              </w:rPr>
            </w:pPr>
          </w:p>
        </w:tc>
      </w:tr>
      <w:tr w14:paraId="4BEB9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2115" w:type="dxa"/>
            <w:gridSpan w:val="2"/>
            <w:noWrap w:val="0"/>
            <w:vAlign w:val="center"/>
          </w:tcPr>
          <w:p w14:paraId="5FF84A1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u w:val="single"/>
                <w:lang w:val="en-US" w:eastAsia="zh-CN"/>
              </w:rPr>
            </w:pPr>
            <w:r>
              <w:rPr>
                <w:rFonts w:hint="eastAsia" w:ascii="宋体" w:hAnsi="宋体" w:eastAsia="宋体" w:cs="宋体"/>
                <w:b/>
                <w:bCs/>
                <w:sz w:val="24"/>
                <w:szCs w:val="24"/>
                <w:highlight w:val="none"/>
                <w:lang w:val="en-US" w:eastAsia="zh-CN"/>
              </w:rPr>
              <w:t>合计金额：</w:t>
            </w:r>
          </w:p>
        </w:tc>
        <w:tc>
          <w:tcPr>
            <w:tcW w:w="6900" w:type="dxa"/>
            <w:gridSpan w:val="5"/>
            <w:noWrap w:val="0"/>
            <w:vAlign w:val="center"/>
          </w:tcPr>
          <w:p w14:paraId="278B328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u w:val="single"/>
                <w:lang w:val="en-US" w:eastAsia="zh-CN"/>
              </w:rPr>
              <w:t>人民币</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US" w:eastAsia="zh-CN"/>
              </w:rPr>
              <w:t>元（大写：</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US" w:eastAsia="zh-CN"/>
              </w:rPr>
              <w:t>元整）</w:t>
            </w:r>
          </w:p>
        </w:tc>
      </w:tr>
    </w:tbl>
    <w:p w14:paraId="2163F8F4">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zh-CN" w:eastAsia="zh-CN" w:bidi="ar-SA"/>
        </w:rPr>
      </w:pPr>
      <w:r>
        <w:rPr>
          <w:rFonts w:hint="eastAsia" w:ascii="仿宋" w:hAnsi="仿宋" w:eastAsia="仿宋" w:cs="仿宋"/>
          <w:color w:val="000000"/>
          <w:kern w:val="0"/>
          <w:sz w:val="28"/>
          <w:szCs w:val="28"/>
          <w:highlight w:val="none"/>
          <w:shd w:val="clear" w:color="auto" w:fill="FFFFFF"/>
          <w:lang w:val="zh-CN" w:eastAsia="zh-CN" w:bidi="ar-SA"/>
        </w:rPr>
        <w:t>二、质量标准：</w:t>
      </w:r>
      <w:r>
        <w:rPr>
          <w:rFonts w:hint="eastAsia" w:ascii="仿宋" w:hAnsi="仿宋" w:eastAsia="仿宋" w:cs="仿宋"/>
          <w:color w:val="000000"/>
          <w:kern w:val="0"/>
          <w:sz w:val="28"/>
          <w:szCs w:val="28"/>
          <w:highlight w:val="none"/>
          <w:shd w:val="clear" w:color="auto" w:fill="FFFFFF"/>
          <w:lang w:val="en-US" w:eastAsia="zh-CN" w:bidi="ar-SA"/>
        </w:rPr>
        <w:t>供货方供给购买方的产品必须达到国家规定的农药质量标准，随产品附送同批产品的生产批号、须开具正规发票，并保证产品有效期</w:t>
      </w:r>
      <w:r>
        <w:rPr>
          <w:rFonts w:hint="eastAsia" w:ascii="仿宋" w:hAnsi="仿宋" w:eastAsia="仿宋" w:cs="仿宋"/>
          <w:color w:val="000000"/>
          <w:kern w:val="0"/>
          <w:sz w:val="28"/>
          <w:szCs w:val="28"/>
          <w:highlight w:val="none"/>
          <w:shd w:val="clear" w:color="auto" w:fill="FFFFFF"/>
          <w:lang w:val="zh-CN" w:eastAsia="zh-CN" w:bidi="ar-SA"/>
        </w:rPr>
        <w:t>。</w:t>
      </w:r>
    </w:p>
    <w:p w14:paraId="54B075B1">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zh-CN" w:eastAsia="zh-CN" w:bidi="ar-SA"/>
        </w:rPr>
      </w:pPr>
      <w:r>
        <w:rPr>
          <w:rFonts w:hint="eastAsia" w:ascii="仿宋" w:hAnsi="仿宋" w:eastAsia="仿宋" w:cs="仿宋"/>
          <w:color w:val="000000"/>
          <w:kern w:val="0"/>
          <w:sz w:val="28"/>
          <w:szCs w:val="28"/>
          <w:highlight w:val="none"/>
          <w:shd w:val="clear" w:color="auto" w:fill="FFFFFF"/>
          <w:lang w:val="zh-CN" w:eastAsia="zh-CN" w:bidi="ar-SA"/>
        </w:rPr>
        <w:t>三、包装标准、包装物的供应与回收：包装物不回收，不计价。</w:t>
      </w:r>
    </w:p>
    <w:p w14:paraId="49F8DA88">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zh-CN" w:eastAsia="zh-CN" w:bidi="ar-SA"/>
        </w:rPr>
      </w:pPr>
      <w:r>
        <w:rPr>
          <w:rFonts w:hint="eastAsia" w:ascii="仿宋" w:hAnsi="仿宋" w:eastAsia="仿宋" w:cs="仿宋"/>
          <w:color w:val="000000"/>
          <w:kern w:val="0"/>
          <w:sz w:val="28"/>
          <w:szCs w:val="28"/>
          <w:highlight w:val="none"/>
          <w:shd w:val="clear" w:color="auto" w:fill="FFFFFF"/>
          <w:lang w:val="zh-CN" w:eastAsia="zh-CN" w:bidi="ar-SA"/>
        </w:rPr>
        <w:t>四、货款结算方式：货到付款。运输费、装卸费、税费等由乙方负责；甲方自收到乙方发票后，根据财务报销流程</w:t>
      </w:r>
      <w:r>
        <w:rPr>
          <w:rFonts w:hint="eastAsia" w:ascii="仿宋" w:hAnsi="仿宋" w:eastAsia="仿宋" w:cs="仿宋"/>
          <w:color w:val="000000"/>
          <w:kern w:val="0"/>
          <w:sz w:val="28"/>
          <w:szCs w:val="28"/>
          <w:highlight w:val="none"/>
          <w:shd w:val="clear" w:color="auto" w:fill="FFFFFF"/>
          <w:lang w:val="en-US" w:eastAsia="zh-CN" w:bidi="ar-SA"/>
        </w:rPr>
        <w:t>付款。</w:t>
      </w:r>
    </w:p>
    <w:p w14:paraId="7132CD8E">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zh-CN" w:eastAsia="zh-CN" w:bidi="ar-SA"/>
        </w:rPr>
      </w:pPr>
      <w:r>
        <w:rPr>
          <w:rFonts w:hint="eastAsia" w:ascii="仿宋" w:hAnsi="仿宋" w:eastAsia="仿宋" w:cs="仿宋"/>
          <w:color w:val="000000"/>
          <w:kern w:val="0"/>
          <w:sz w:val="28"/>
          <w:szCs w:val="28"/>
          <w:highlight w:val="none"/>
          <w:shd w:val="clear" w:color="auto" w:fill="FFFFFF"/>
          <w:lang w:val="zh-CN" w:eastAsia="zh-CN" w:bidi="ar-SA"/>
        </w:rPr>
        <w:t>五、交货：</w:t>
      </w:r>
      <w:r>
        <w:rPr>
          <w:rFonts w:hint="eastAsia" w:ascii="仿宋" w:hAnsi="仿宋" w:eastAsia="仿宋" w:cs="仿宋"/>
          <w:color w:val="000000"/>
          <w:kern w:val="0"/>
          <w:sz w:val="28"/>
          <w:szCs w:val="28"/>
          <w:highlight w:val="none"/>
          <w:shd w:val="clear" w:color="auto" w:fill="FFFFFF"/>
          <w:lang w:val="en-US" w:eastAsia="zh-CN" w:bidi="ar-SA"/>
        </w:rPr>
        <w:t>由乙方运送至甲方指定地点</w:t>
      </w:r>
      <w:r>
        <w:rPr>
          <w:rFonts w:hint="eastAsia" w:ascii="仿宋" w:hAnsi="仿宋" w:eastAsia="仿宋" w:cs="仿宋"/>
          <w:color w:val="000000"/>
          <w:kern w:val="0"/>
          <w:sz w:val="28"/>
          <w:szCs w:val="28"/>
          <w:highlight w:val="none"/>
          <w:shd w:val="clear" w:color="auto" w:fill="FFFFFF"/>
          <w:lang w:val="zh-CN" w:eastAsia="zh-CN" w:bidi="ar-SA"/>
        </w:rPr>
        <w:t>，合理期限内完成供货，汽车运输、运费、装卸费用、税费等</w:t>
      </w:r>
      <w:r>
        <w:rPr>
          <w:rFonts w:hint="eastAsia" w:ascii="仿宋" w:hAnsi="仿宋" w:eastAsia="仿宋" w:cs="仿宋"/>
          <w:color w:val="000000"/>
          <w:kern w:val="0"/>
          <w:sz w:val="28"/>
          <w:szCs w:val="28"/>
          <w:highlight w:val="none"/>
          <w:shd w:val="clear" w:color="auto" w:fill="FFFFFF"/>
          <w:lang w:val="en-US" w:eastAsia="zh-CN" w:bidi="ar-SA"/>
        </w:rPr>
        <w:t>由</w:t>
      </w:r>
      <w:r>
        <w:rPr>
          <w:rFonts w:hint="eastAsia" w:ascii="仿宋" w:hAnsi="仿宋" w:eastAsia="仿宋" w:cs="仿宋"/>
          <w:color w:val="000000"/>
          <w:kern w:val="0"/>
          <w:sz w:val="28"/>
          <w:szCs w:val="28"/>
          <w:highlight w:val="none"/>
          <w:shd w:val="clear" w:color="auto" w:fill="FFFFFF"/>
          <w:lang w:val="zh-CN" w:eastAsia="zh-CN" w:bidi="ar-SA"/>
        </w:rPr>
        <w:t>乙方负责。交提货地址：</w:t>
      </w:r>
      <w:r>
        <w:rPr>
          <w:rFonts w:hint="eastAsia" w:ascii="仿宋" w:hAnsi="仿宋" w:eastAsia="仿宋" w:cs="仿宋"/>
          <w:color w:val="000000"/>
          <w:kern w:val="0"/>
          <w:sz w:val="28"/>
          <w:szCs w:val="28"/>
          <w:highlight w:val="none"/>
          <w:u w:val="single"/>
          <w:shd w:val="clear" w:color="auto" w:fill="FFFFFF"/>
          <w:lang w:val="en-US" w:eastAsia="zh-CN" w:bidi="ar-SA"/>
        </w:rPr>
        <w:t xml:space="preserve">  大新农场  </w:t>
      </w:r>
      <w:r>
        <w:rPr>
          <w:rFonts w:hint="eastAsia" w:ascii="仿宋" w:hAnsi="仿宋" w:eastAsia="仿宋" w:cs="仿宋"/>
          <w:color w:val="000000"/>
          <w:kern w:val="0"/>
          <w:sz w:val="28"/>
          <w:szCs w:val="28"/>
          <w:highlight w:val="none"/>
          <w:shd w:val="clear" w:color="auto" w:fill="FFFFFF"/>
          <w:lang w:val="zh-CN" w:eastAsia="zh-CN" w:bidi="ar-SA"/>
        </w:rPr>
        <w:t>。</w:t>
      </w:r>
    </w:p>
    <w:p w14:paraId="0DA16CB2">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zh-CN" w:eastAsia="zh-CN" w:bidi="ar-SA"/>
        </w:rPr>
      </w:pPr>
      <w:r>
        <w:rPr>
          <w:rFonts w:hint="eastAsia" w:ascii="仿宋" w:hAnsi="仿宋" w:eastAsia="仿宋" w:cs="仿宋"/>
          <w:color w:val="000000"/>
          <w:kern w:val="0"/>
          <w:sz w:val="28"/>
          <w:szCs w:val="28"/>
          <w:highlight w:val="none"/>
          <w:shd w:val="clear" w:color="auto" w:fill="FFFFFF"/>
          <w:lang w:val="zh-CN" w:eastAsia="zh-CN" w:bidi="ar-SA"/>
        </w:rPr>
        <w:t>六、验收标准、方法及提出异议的期限：</w:t>
      </w:r>
    </w:p>
    <w:p w14:paraId="6CC5B077">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zh-CN" w:eastAsia="zh-CN" w:bidi="ar-SA"/>
        </w:rPr>
      </w:pPr>
      <w:r>
        <w:rPr>
          <w:rFonts w:hint="eastAsia" w:ascii="仿宋" w:hAnsi="仿宋" w:eastAsia="仿宋" w:cs="仿宋"/>
          <w:color w:val="000000"/>
          <w:kern w:val="0"/>
          <w:sz w:val="28"/>
          <w:szCs w:val="28"/>
          <w:highlight w:val="none"/>
          <w:shd w:val="clear" w:color="auto" w:fill="FFFFFF"/>
          <w:lang w:val="en-US" w:eastAsia="zh-CN" w:bidi="ar-SA"/>
        </w:rPr>
        <w:t>1.验收标准：</w:t>
      </w:r>
      <w:r>
        <w:rPr>
          <w:rFonts w:hint="eastAsia" w:ascii="仿宋" w:hAnsi="仿宋" w:eastAsia="仿宋" w:cs="仿宋"/>
          <w:color w:val="000000"/>
          <w:kern w:val="0"/>
          <w:sz w:val="28"/>
          <w:szCs w:val="28"/>
          <w:highlight w:val="none"/>
          <w:shd w:val="clear" w:color="auto" w:fill="FFFFFF"/>
          <w:lang w:val="zh-CN" w:eastAsia="zh-CN" w:bidi="ar-SA"/>
        </w:rPr>
        <w:t>甲乙双方现场对农药交付、验收，农药包装要求：农药包装必须贴有中文标签或附具说明书，注明农药名称、生产企业名称及联系方式、产品批号或生产日期有效期不少于</w:t>
      </w:r>
      <w:r>
        <w:rPr>
          <w:rFonts w:hint="eastAsia" w:ascii="仿宋" w:hAnsi="仿宋" w:eastAsia="仿宋" w:cs="仿宋"/>
          <w:color w:val="000000"/>
          <w:kern w:val="0"/>
          <w:sz w:val="28"/>
          <w:szCs w:val="28"/>
          <w:highlight w:val="none"/>
          <w:shd w:val="clear" w:color="auto" w:fill="FFFFFF"/>
          <w:lang w:val="en-US" w:eastAsia="zh-CN" w:bidi="ar-SA"/>
        </w:rPr>
        <w:t>12个月</w:t>
      </w:r>
      <w:r>
        <w:rPr>
          <w:rFonts w:hint="eastAsia" w:ascii="仿宋" w:hAnsi="仿宋" w:eastAsia="仿宋" w:cs="仿宋"/>
          <w:color w:val="000000"/>
          <w:kern w:val="0"/>
          <w:sz w:val="28"/>
          <w:szCs w:val="28"/>
          <w:highlight w:val="none"/>
          <w:shd w:val="clear" w:color="auto" w:fill="FFFFFF"/>
          <w:lang w:val="zh-CN" w:eastAsia="zh-CN" w:bidi="ar-SA"/>
        </w:rPr>
        <w:t>、农药登记号或农药临时登记证号、农药生产许可证号或农药生产批准文件号、农药有效成分、含量、剂型、产品性能、霉性、用途、使用技术和方法、有效期和注意事项等。分装的农药产品，除注明上述内容外还应注明分装登记证号、分装日期、分装企业名称及联系方式，并附具产品质量检验合格证。</w:t>
      </w:r>
      <w:r>
        <w:rPr>
          <w:rFonts w:hint="eastAsia" w:ascii="仿宋" w:hAnsi="仿宋" w:eastAsia="仿宋" w:cs="仿宋"/>
          <w:color w:val="000000"/>
          <w:kern w:val="0"/>
          <w:sz w:val="28"/>
          <w:szCs w:val="28"/>
          <w:highlight w:val="none"/>
          <w:shd w:val="clear" w:color="auto" w:fill="FFFFFF"/>
          <w:lang w:val="en-US" w:eastAsia="zh-CN" w:bidi="ar-SA"/>
        </w:rPr>
        <w:t>验收合格后，由双方签订产品数量、质量验收单。</w:t>
      </w:r>
    </w:p>
    <w:p w14:paraId="7248406F">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zh-CN" w:eastAsia="zh-CN" w:bidi="ar-SA"/>
        </w:rPr>
      </w:pPr>
      <w:r>
        <w:rPr>
          <w:rFonts w:hint="eastAsia" w:ascii="仿宋" w:hAnsi="仿宋" w:eastAsia="仿宋" w:cs="仿宋"/>
          <w:color w:val="000000"/>
          <w:kern w:val="0"/>
          <w:sz w:val="28"/>
          <w:szCs w:val="28"/>
          <w:highlight w:val="none"/>
          <w:shd w:val="clear" w:color="auto" w:fill="FFFFFF"/>
          <w:lang w:val="en-US" w:eastAsia="zh-CN" w:bidi="ar-SA"/>
        </w:rPr>
        <w:t>2.异议处理办法及期限：</w:t>
      </w:r>
      <w:r>
        <w:rPr>
          <w:rFonts w:hint="eastAsia" w:ascii="仿宋" w:hAnsi="仿宋" w:eastAsia="仿宋" w:cs="仿宋"/>
          <w:color w:val="000000"/>
          <w:kern w:val="0"/>
          <w:sz w:val="28"/>
          <w:szCs w:val="28"/>
          <w:highlight w:val="none"/>
          <w:shd w:val="clear" w:color="auto" w:fill="FFFFFF"/>
          <w:lang w:val="zh-CN" w:eastAsia="zh-CN" w:bidi="ar-SA"/>
        </w:rPr>
        <w:t>在农药验收过程中如存在质量问题的，由甲乙双方派人抽样化验或送第三方质检机构复检，异议期为货物签收一周。异议经核实，乙方应无条件退货或换货。</w:t>
      </w:r>
    </w:p>
    <w:p w14:paraId="0D385900">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2" w:firstLineChars="200"/>
        <w:textAlignment w:val="auto"/>
        <w:rPr>
          <w:rFonts w:hint="eastAsia" w:ascii="宋体" w:hAnsi="宋体" w:cs="宋体"/>
          <w:b/>
          <w:bCs/>
          <w:sz w:val="24"/>
          <w:szCs w:val="24"/>
          <w:highlight w:val="none"/>
          <w:lang w:val="en-US" w:eastAsia="zh-CN"/>
        </w:rPr>
      </w:pPr>
      <w:r>
        <w:rPr>
          <w:rFonts w:hint="eastAsia" w:ascii="仿宋" w:hAnsi="仿宋" w:eastAsia="仿宋" w:cs="仿宋"/>
          <w:b/>
          <w:bCs/>
          <w:color w:val="000000"/>
          <w:kern w:val="0"/>
          <w:sz w:val="28"/>
          <w:szCs w:val="28"/>
          <w:highlight w:val="none"/>
          <w:shd w:val="clear" w:color="auto" w:fill="FFFFFF"/>
          <w:lang w:val="en-US" w:eastAsia="zh-CN" w:bidi="ar-SA"/>
        </w:rPr>
        <w:t>3.</w:t>
      </w:r>
      <w:r>
        <w:rPr>
          <w:rFonts w:hint="eastAsia" w:ascii="宋体" w:hAnsi="宋体" w:cs="宋体"/>
          <w:b/>
          <w:bCs/>
          <w:sz w:val="24"/>
          <w:szCs w:val="24"/>
          <w:highlight w:val="none"/>
          <w:lang w:val="en-US" w:eastAsia="zh-CN"/>
        </w:rPr>
        <w:t>在产品有效期内，对于本次采购的剩余农药，甲方有权在货物到货后三个月内提出退货，乙方应无条件接受招标方的退货申请，并及时办理相关退货手续。</w:t>
      </w:r>
    </w:p>
    <w:p w14:paraId="63B852E7">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en-US" w:eastAsia="zh-CN" w:bidi="ar-SA"/>
        </w:rPr>
      </w:pPr>
      <w:r>
        <w:rPr>
          <w:rFonts w:hint="eastAsia" w:ascii="仿宋" w:hAnsi="仿宋" w:eastAsia="仿宋" w:cs="仿宋"/>
          <w:color w:val="000000"/>
          <w:kern w:val="0"/>
          <w:sz w:val="28"/>
          <w:szCs w:val="28"/>
          <w:highlight w:val="none"/>
          <w:shd w:val="clear" w:color="auto" w:fill="FFFFFF"/>
          <w:lang w:val="en-US" w:eastAsia="zh-CN" w:bidi="ar-SA"/>
        </w:rPr>
        <w:t>4.甲方收取的履约保证金于合同履约结束且无任何违约，方可无息退还。</w:t>
      </w:r>
    </w:p>
    <w:p w14:paraId="0180FC87">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en-US" w:eastAsia="zh-CN" w:bidi="ar-SA"/>
        </w:rPr>
      </w:pPr>
      <w:r>
        <w:rPr>
          <w:rFonts w:hint="eastAsia" w:ascii="仿宋" w:hAnsi="仿宋" w:eastAsia="仿宋" w:cs="仿宋"/>
          <w:color w:val="000000"/>
          <w:kern w:val="0"/>
          <w:sz w:val="28"/>
          <w:szCs w:val="28"/>
          <w:highlight w:val="none"/>
          <w:shd w:val="clear" w:color="auto" w:fill="FFFFFF"/>
          <w:lang w:val="en-US" w:eastAsia="zh-CN" w:bidi="ar-SA"/>
        </w:rPr>
        <w:t>七、违约责任：</w:t>
      </w:r>
    </w:p>
    <w:p w14:paraId="4A8B84A1">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en-US" w:eastAsia="zh-CN" w:bidi="ar-SA"/>
        </w:rPr>
      </w:pPr>
      <w:r>
        <w:rPr>
          <w:rFonts w:hint="eastAsia" w:ascii="仿宋" w:hAnsi="仿宋" w:eastAsia="仿宋" w:cs="仿宋"/>
          <w:color w:val="000000"/>
          <w:kern w:val="0"/>
          <w:sz w:val="28"/>
          <w:szCs w:val="28"/>
          <w:highlight w:val="none"/>
          <w:shd w:val="clear" w:color="auto" w:fill="FFFFFF"/>
          <w:lang w:val="en-US" w:eastAsia="zh-CN" w:bidi="ar-SA"/>
        </w:rPr>
        <w:t>1.如乙方没有按照合同约定期限履行送货义务，每逾期一天，向甲方支付合同价款2%的违约金，逾期5日，甲方有权解除合同，要求乙方承担由此造成甲方的所有损失，并按合同总额的20%支付违约金。</w:t>
      </w:r>
    </w:p>
    <w:p w14:paraId="142F6662">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default" w:ascii="仿宋" w:hAnsi="仿宋" w:eastAsia="仿宋" w:cs="仿宋"/>
          <w:color w:val="000000"/>
          <w:kern w:val="0"/>
          <w:sz w:val="28"/>
          <w:szCs w:val="28"/>
          <w:highlight w:val="none"/>
          <w:shd w:val="clear" w:color="auto" w:fill="FFFFFF"/>
          <w:lang w:val="en-US" w:eastAsia="zh-CN" w:bidi="ar-SA"/>
        </w:rPr>
      </w:pPr>
      <w:r>
        <w:rPr>
          <w:rFonts w:hint="eastAsia" w:ascii="仿宋" w:hAnsi="仿宋" w:eastAsia="仿宋" w:cs="仿宋"/>
          <w:color w:val="000000"/>
          <w:kern w:val="0"/>
          <w:sz w:val="28"/>
          <w:szCs w:val="28"/>
          <w:highlight w:val="none"/>
          <w:shd w:val="clear" w:color="auto" w:fill="FFFFFF"/>
          <w:lang w:val="en-US" w:eastAsia="zh-CN" w:bidi="ar-SA"/>
        </w:rPr>
        <w:t>2.如乙方的产品经第三方机构检测不符合国家标准或合同约定质量标准的，甲方有权拒收、换货或退货，所造成的运输、装卸、产品等损失均由乙方承担，且甲方有权要求乙方支付合同价款20%的违约金。</w:t>
      </w:r>
    </w:p>
    <w:p w14:paraId="2F1C29C2">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en-US" w:eastAsia="zh-CN" w:bidi="ar-SA"/>
        </w:rPr>
      </w:pPr>
      <w:r>
        <w:rPr>
          <w:rFonts w:hint="eastAsia" w:ascii="仿宋" w:hAnsi="仿宋" w:eastAsia="仿宋" w:cs="仿宋"/>
          <w:color w:val="000000"/>
          <w:kern w:val="0"/>
          <w:sz w:val="28"/>
          <w:szCs w:val="28"/>
          <w:highlight w:val="none"/>
          <w:shd w:val="clear" w:color="auto" w:fill="FFFFFF"/>
          <w:lang w:val="en-US" w:eastAsia="zh-CN" w:bidi="ar-SA"/>
        </w:rPr>
        <w:t>3.标的物所有权自交付时转移，但甲方未履行支付价款义务的，标的物属于乙方所有。</w:t>
      </w:r>
    </w:p>
    <w:p w14:paraId="682DB18F">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en-US" w:eastAsia="zh-CN" w:bidi="ar-SA"/>
        </w:rPr>
      </w:pPr>
      <w:r>
        <w:rPr>
          <w:rFonts w:hint="eastAsia" w:ascii="仿宋" w:hAnsi="仿宋" w:eastAsia="仿宋" w:cs="仿宋"/>
          <w:color w:val="000000"/>
          <w:kern w:val="0"/>
          <w:sz w:val="28"/>
          <w:szCs w:val="28"/>
          <w:highlight w:val="none"/>
          <w:shd w:val="clear" w:color="auto" w:fill="FFFFFF"/>
          <w:lang w:val="en-US" w:eastAsia="zh-CN" w:bidi="ar-SA"/>
        </w:rPr>
        <w:t>4.农药不符合包装要求或包装有破损的，甲方有权要求换货、退货，或按照本协议规定产品的销售价格乘以破损产品数量扣除货款。因退换货产生的运输费、装卸费由乙方承担。</w:t>
      </w:r>
    </w:p>
    <w:p w14:paraId="5A078E34">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en-US" w:eastAsia="zh-CN" w:bidi="ar-SA"/>
        </w:rPr>
      </w:pPr>
      <w:r>
        <w:rPr>
          <w:rFonts w:hint="eastAsia" w:ascii="仿宋" w:hAnsi="仿宋" w:eastAsia="仿宋" w:cs="仿宋"/>
          <w:color w:val="000000"/>
          <w:kern w:val="0"/>
          <w:sz w:val="28"/>
          <w:szCs w:val="28"/>
          <w:highlight w:val="none"/>
          <w:shd w:val="clear" w:color="auto" w:fill="FFFFFF"/>
          <w:lang w:val="en-US" w:eastAsia="zh-CN" w:bidi="ar-SA"/>
        </w:rPr>
        <w:t>5.甲方应按所买农药标签注明的用量、使用技术和方法在有效期内使用农药，且自合同签订一年内乙方应向甲方提供良好的技术支持和售后服务。如在乙方已提供用量说明和使用技术的情况下，因甲方操作问题导致农作物受损，由甲方自行承担，乙方不承担任何责任。</w:t>
      </w:r>
    </w:p>
    <w:p w14:paraId="5C9545BF">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en-US" w:eastAsia="zh-CN" w:bidi="ar-SA"/>
        </w:rPr>
      </w:pPr>
      <w:r>
        <w:rPr>
          <w:rFonts w:hint="eastAsia" w:ascii="仿宋" w:hAnsi="仿宋" w:eastAsia="仿宋" w:cs="仿宋"/>
          <w:color w:val="000000"/>
          <w:kern w:val="0"/>
          <w:sz w:val="28"/>
          <w:szCs w:val="28"/>
          <w:highlight w:val="none"/>
          <w:shd w:val="clear" w:color="auto" w:fill="FFFFFF"/>
          <w:lang w:val="en-US" w:eastAsia="zh-CN" w:bidi="ar-SA"/>
        </w:rPr>
        <w:t>6.购买方经营过程中保存不善等非供货方原因造成的质量问题，供货方不承担责任。</w:t>
      </w:r>
    </w:p>
    <w:p w14:paraId="1F1AC9FC">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en-US" w:eastAsia="zh-CN" w:bidi="ar-SA"/>
        </w:rPr>
      </w:pPr>
      <w:r>
        <w:rPr>
          <w:rFonts w:hint="eastAsia" w:ascii="仿宋" w:hAnsi="仿宋" w:eastAsia="仿宋" w:cs="仿宋"/>
          <w:color w:val="000000"/>
          <w:kern w:val="0"/>
          <w:sz w:val="28"/>
          <w:szCs w:val="28"/>
          <w:highlight w:val="none"/>
          <w:shd w:val="clear" w:color="auto" w:fill="FFFFFF"/>
          <w:lang w:val="en-US" w:eastAsia="zh-CN" w:bidi="ar-SA"/>
        </w:rPr>
        <w:t>7.乙方不得再分包或转包，必须由乙方自行提供合同约定的产品。如乙方违约分包或转包的，依法追究承包单位的法律责任，处转让、分包项目总金额的20%支付违约金。</w:t>
      </w:r>
    </w:p>
    <w:p w14:paraId="5FD0CB1B">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2" w:firstLineChars="200"/>
        <w:textAlignment w:val="auto"/>
        <w:rPr>
          <w:rFonts w:hint="default"/>
          <w:lang w:val="en-US" w:eastAsia="zh-CN"/>
        </w:rPr>
      </w:pPr>
      <w:r>
        <w:rPr>
          <w:rFonts w:hint="eastAsia" w:ascii="仿宋" w:hAnsi="仿宋" w:eastAsia="仿宋" w:cs="仿宋"/>
          <w:b/>
          <w:bCs/>
          <w:color w:val="000000"/>
          <w:kern w:val="0"/>
          <w:sz w:val="28"/>
          <w:szCs w:val="28"/>
          <w:highlight w:val="none"/>
          <w:shd w:val="clear" w:color="auto" w:fill="FFFFFF"/>
          <w:lang w:val="en-US" w:eastAsia="zh-CN" w:bidi="ar-SA"/>
        </w:rPr>
        <w:t>8.在招投标活动中，法定代表人为同一人的两个及两个以上法人、母公司与其全资子公司、控股公司，以及其他存在资产关联关系的投标人，不得在同一标段内同时参与投标；若经查实存在上述情形，无论是否已中标，均按无效投标处理；招标过程中未能发现并已签订合同的，经查实不符合要求的，合同直接予以解除，甲方有权拒绝支付所有服务费用，并将相关投标人列入甲方供应商黑名单，取消其后续参与甲方所有采购项目的投标资格。</w:t>
      </w:r>
    </w:p>
    <w:p w14:paraId="45734DFB">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en-US" w:eastAsia="zh-CN" w:bidi="ar-SA"/>
        </w:rPr>
      </w:pPr>
      <w:r>
        <w:rPr>
          <w:rFonts w:hint="eastAsia" w:ascii="仿宋" w:hAnsi="仿宋" w:eastAsia="仿宋" w:cs="仿宋"/>
          <w:color w:val="000000"/>
          <w:kern w:val="0"/>
          <w:sz w:val="28"/>
          <w:szCs w:val="28"/>
          <w:highlight w:val="none"/>
          <w:shd w:val="clear" w:color="auto" w:fill="FFFFFF"/>
          <w:lang w:val="en-US" w:eastAsia="zh-CN" w:bidi="ar-SA"/>
        </w:rPr>
        <w:t>八、合同纠纷处理办法：</w:t>
      </w:r>
    </w:p>
    <w:p w14:paraId="74E5291D">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en-US" w:eastAsia="zh-CN" w:bidi="ar-SA"/>
        </w:rPr>
      </w:pPr>
      <w:r>
        <w:rPr>
          <w:rFonts w:hint="eastAsia" w:ascii="仿宋" w:hAnsi="仿宋" w:eastAsia="仿宋" w:cs="仿宋"/>
          <w:color w:val="000000"/>
          <w:kern w:val="0"/>
          <w:sz w:val="28"/>
          <w:szCs w:val="28"/>
          <w:highlight w:val="none"/>
          <w:shd w:val="clear" w:color="auto" w:fill="FFFFFF"/>
          <w:lang w:val="en-US" w:eastAsia="zh-CN" w:bidi="ar-SA"/>
        </w:rPr>
        <w:t>双方当事人事先友好协商解决，如协商或调解不成的，甲乙双方同意只能以以下第二种方式解决纠纷：</w:t>
      </w:r>
    </w:p>
    <w:p w14:paraId="68671A99">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en-US" w:eastAsia="zh-CN" w:bidi="ar-SA"/>
        </w:rPr>
      </w:pPr>
      <w:r>
        <w:rPr>
          <w:rFonts w:hint="eastAsia" w:ascii="仿宋" w:hAnsi="仿宋" w:eastAsia="仿宋" w:cs="仿宋"/>
          <w:color w:val="000000"/>
          <w:kern w:val="0"/>
          <w:sz w:val="28"/>
          <w:szCs w:val="28"/>
          <w:highlight w:val="none"/>
          <w:shd w:val="clear" w:color="auto" w:fill="FFFFFF"/>
          <w:lang w:val="en-US" w:eastAsia="zh-CN" w:bidi="ar-SA"/>
        </w:rPr>
        <w:t>（1）向连云港市仲裁委申请仲裁；</w:t>
      </w:r>
    </w:p>
    <w:p w14:paraId="79792E95">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en-US" w:eastAsia="zh-CN" w:bidi="ar-SA"/>
        </w:rPr>
      </w:pPr>
      <w:r>
        <w:rPr>
          <w:rFonts w:hint="eastAsia" w:ascii="仿宋" w:hAnsi="仿宋" w:eastAsia="仿宋" w:cs="仿宋"/>
          <w:color w:val="000000"/>
          <w:kern w:val="0"/>
          <w:sz w:val="28"/>
          <w:szCs w:val="28"/>
          <w:highlight w:val="none"/>
          <w:shd w:val="clear" w:color="auto" w:fill="FFFFFF"/>
          <w:lang w:val="en-US" w:eastAsia="zh-CN" w:bidi="ar-SA"/>
        </w:rPr>
        <w:t>（2）向甲方公司所在地人民法院提起诉讼。</w:t>
      </w:r>
    </w:p>
    <w:p w14:paraId="21F1DA15">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en-US" w:eastAsia="zh-CN" w:bidi="ar-SA"/>
        </w:rPr>
      </w:pPr>
      <w:r>
        <w:rPr>
          <w:rFonts w:hint="eastAsia" w:ascii="仿宋" w:hAnsi="仿宋" w:eastAsia="仿宋" w:cs="仿宋"/>
          <w:color w:val="000000"/>
          <w:kern w:val="0"/>
          <w:sz w:val="28"/>
          <w:szCs w:val="28"/>
          <w:highlight w:val="none"/>
          <w:shd w:val="clear" w:color="auto" w:fill="FFFFFF"/>
          <w:lang w:val="en-US" w:eastAsia="zh-CN" w:bidi="ar-SA"/>
        </w:rPr>
        <w:t>乙方承诺只要发生诉讼，承担包括但不限于诉讼费、律师费、保全费、执行费等一切费用。</w:t>
      </w:r>
    </w:p>
    <w:p w14:paraId="4EBFDAD7">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zh-CN" w:eastAsia="zh-CN" w:bidi="ar-SA"/>
        </w:rPr>
      </w:pPr>
      <w:r>
        <w:rPr>
          <w:rFonts w:hint="eastAsia" w:ascii="仿宋" w:hAnsi="仿宋" w:eastAsia="仿宋" w:cs="仿宋"/>
          <w:color w:val="000000"/>
          <w:kern w:val="0"/>
          <w:sz w:val="28"/>
          <w:szCs w:val="28"/>
          <w:highlight w:val="none"/>
          <w:shd w:val="clear" w:color="auto" w:fill="FFFFFF"/>
          <w:lang w:val="zh-CN" w:eastAsia="zh-CN" w:bidi="ar-SA"/>
        </w:rPr>
        <w:t>九、其他事项：</w:t>
      </w:r>
    </w:p>
    <w:p w14:paraId="1B1A5310">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zh-CN" w:eastAsia="zh-CN" w:bidi="ar-SA"/>
        </w:rPr>
      </w:pPr>
      <w:r>
        <w:rPr>
          <w:rFonts w:hint="eastAsia" w:ascii="仿宋" w:hAnsi="仿宋" w:eastAsia="仿宋" w:cs="仿宋"/>
          <w:color w:val="000000"/>
          <w:kern w:val="0"/>
          <w:sz w:val="28"/>
          <w:szCs w:val="28"/>
          <w:highlight w:val="none"/>
          <w:shd w:val="clear" w:color="auto" w:fill="FFFFFF"/>
          <w:lang w:val="en-US" w:eastAsia="zh-CN" w:bidi="ar-SA"/>
        </w:rPr>
        <w:t>1.</w:t>
      </w:r>
      <w:r>
        <w:rPr>
          <w:rFonts w:hint="eastAsia" w:ascii="仿宋" w:hAnsi="仿宋" w:eastAsia="仿宋" w:cs="仿宋"/>
          <w:color w:val="000000"/>
          <w:kern w:val="0"/>
          <w:sz w:val="28"/>
          <w:szCs w:val="28"/>
          <w:highlight w:val="none"/>
          <w:shd w:val="clear" w:color="auto" w:fill="FFFFFF"/>
          <w:lang w:val="zh-CN" w:eastAsia="zh-CN" w:bidi="ar-SA"/>
        </w:rPr>
        <w:t>本合同经甲乙双方加盖公章或合同章后生效；</w:t>
      </w:r>
    </w:p>
    <w:p w14:paraId="0FEC2DCB">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zh-CN" w:eastAsia="zh-CN" w:bidi="ar-SA"/>
        </w:rPr>
      </w:pPr>
      <w:r>
        <w:rPr>
          <w:rFonts w:hint="eastAsia" w:ascii="仿宋" w:hAnsi="仿宋" w:eastAsia="仿宋" w:cs="仿宋"/>
          <w:color w:val="000000"/>
          <w:kern w:val="0"/>
          <w:sz w:val="28"/>
          <w:szCs w:val="28"/>
          <w:highlight w:val="none"/>
          <w:shd w:val="clear" w:color="auto" w:fill="FFFFFF"/>
          <w:lang w:val="en-US" w:eastAsia="zh-CN" w:bidi="ar-SA"/>
        </w:rPr>
        <w:t>2.</w:t>
      </w:r>
      <w:r>
        <w:rPr>
          <w:rFonts w:hint="eastAsia" w:ascii="仿宋" w:hAnsi="仿宋" w:eastAsia="仿宋" w:cs="仿宋"/>
          <w:color w:val="000000"/>
          <w:kern w:val="0"/>
          <w:sz w:val="28"/>
          <w:szCs w:val="28"/>
          <w:highlight w:val="none"/>
          <w:shd w:val="clear" w:color="auto" w:fill="FFFFFF"/>
          <w:lang w:val="zh-CN" w:eastAsia="zh-CN" w:bidi="ar-SA"/>
        </w:rPr>
        <w:t>本合同有效期至该笔业务结束止；</w:t>
      </w:r>
    </w:p>
    <w:p w14:paraId="019907E0">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zh-CN" w:eastAsia="zh-CN" w:bidi="ar-SA"/>
        </w:rPr>
      </w:pPr>
      <w:r>
        <w:rPr>
          <w:rFonts w:hint="eastAsia" w:ascii="仿宋" w:hAnsi="仿宋" w:eastAsia="仿宋" w:cs="仿宋"/>
          <w:color w:val="000000"/>
          <w:kern w:val="0"/>
          <w:sz w:val="28"/>
          <w:szCs w:val="28"/>
          <w:highlight w:val="none"/>
          <w:shd w:val="clear" w:color="auto" w:fill="FFFFFF"/>
          <w:lang w:val="en-US" w:eastAsia="zh-CN" w:bidi="ar-SA"/>
        </w:rPr>
        <w:t>3.</w:t>
      </w:r>
      <w:r>
        <w:rPr>
          <w:rFonts w:hint="eastAsia" w:ascii="仿宋" w:hAnsi="仿宋" w:eastAsia="仿宋" w:cs="仿宋"/>
          <w:b/>
          <w:bCs/>
          <w:color w:val="000000"/>
          <w:kern w:val="0"/>
          <w:sz w:val="28"/>
          <w:szCs w:val="28"/>
          <w:highlight w:val="none"/>
          <w:shd w:val="clear" w:color="auto" w:fill="FFFFFF"/>
          <w:lang w:val="zh-CN" w:eastAsia="zh-CN" w:bidi="ar-SA"/>
        </w:rPr>
        <w:t>本合同一式叁份，甲方执贰份，乙方执壹份</w:t>
      </w:r>
      <w:r>
        <w:rPr>
          <w:rFonts w:hint="eastAsia" w:ascii="仿宋" w:hAnsi="仿宋" w:eastAsia="仿宋" w:cs="仿宋"/>
          <w:color w:val="000000"/>
          <w:kern w:val="0"/>
          <w:sz w:val="28"/>
          <w:szCs w:val="28"/>
          <w:highlight w:val="none"/>
          <w:shd w:val="clear" w:color="auto" w:fill="FFFFFF"/>
          <w:lang w:val="zh-CN" w:eastAsia="zh-CN" w:bidi="ar-SA"/>
        </w:rPr>
        <w:t>，自签订之日起生效，传真件与原件每份具有同等法律效力。双方所发确认传真均为本合同的有效附件，与本合同具有同等法律效力；</w:t>
      </w:r>
    </w:p>
    <w:p w14:paraId="5BFDC6B6">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zh-CN" w:eastAsia="zh-CN" w:bidi="ar-SA"/>
        </w:rPr>
      </w:pPr>
      <w:r>
        <w:rPr>
          <w:rFonts w:hint="eastAsia" w:ascii="仿宋" w:hAnsi="仿宋" w:eastAsia="仿宋" w:cs="仿宋"/>
          <w:color w:val="000000"/>
          <w:kern w:val="0"/>
          <w:sz w:val="28"/>
          <w:szCs w:val="28"/>
          <w:highlight w:val="none"/>
          <w:shd w:val="clear" w:color="auto" w:fill="FFFFFF"/>
          <w:lang w:val="en-US" w:eastAsia="zh-CN" w:bidi="ar-SA"/>
        </w:rPr>
        <w:t>4.</w:t>
      </w:r>
      <w:r>
        <w:rPr>
          <w:rFonts w:hint="eastAsia" w:ascii="仿宋" w:hAnsi="仿宋" w:eastAsia="仿宋" w:cs="仿宋"/>
          <w:color w:val="000000"/>
          <w:kern w:val="0"/>
          <w:sz w:val="28"/>
          <w:szCs w:val="28"/>
          <w:highlight w:val="none"/>
          <w:shd w:val="clear" w:color="auto" w:fill="FFFFFF"/>
          <w:lang w:val="zh-CN" w:eastAsia="zh-CN" w:bidi="ar-SA"/>
        </w:rPr>
        <w:t>协议签署地：青口投资公司。</w:t>
      </w:r>
    </w:p>
    <w:p w14:paraId="1B0CCEEB">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zh-CN" w:eastAsia="zh-CN" w:bidi="ar-SA"/>
        </w:rPr>
      </w:pPr>
    </w:p>
    <w:p w14:paraId="79205239">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zh-CN" w:eastAsia="zh-CN" w:bidi="ar-SA"/>
        </w:rPr>
      </w:pPr>
    </w:p>
    <w:p w14:paraId="1FBE737B">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zh-CN" w:eastAsia="zh-CN" w:bidi="ar-SA"/>
        </w:rPr>
      </w:pPr>
    </w:p>
    <w:p w14:paraId="6BF4EAB6">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default" w:ascii="仿宋" w:hAnsi="仿宋" w:eastAsia="仿宋" w:cs="仿宋"/>
          <w:color w:val="000000"/>
          <w:kern w:val="0"/>
          <w:sz w:val="28"/>
          <w:szCs w:val="28"/>
          <w:highlight w:val="none"/>
          <w:shd w:val="clear" w:color="auto" w:fill="FFFFFF"/>
          <w:lang w:val="en-US" w:eastAsia="zh-CN" w:bidi="ar-SA"/>
        </w:rPr>
      </w:pPr>
      <w:r>
        <w:rPr>
          <w:rFonts w:hint="eastAsia" w:ascii="仿宋" w:hAnsi="仿宋" w:eastAsia="仿宋" w:cs="仿宋"/>
          <w:color w:val="000000"/>
          <w:kern w:val="0"/>
          <w:sz w:val="28"/>
          <w:szCs w:val="28"/>
          <w:highlight w:val="none"/>
          <w:shd w:val="clear" w:color="auto" w:fill="FFFFFF"/>
          <w:lang w:val="zh-CN" w:eastAsia="zh-CN" w:bidi="ar-SA"/>
        </w:rPr>
        <w:t>甲方（盖章）：</w:t>
      </w:r>
      <w:r>
        <w:rPr>
          <w:rFonts w:hint="eastAsia" w:ascii="仿宋" w:hAnsi="仿宋" w:eastAsia="仿宋" w:cs="仿宋"/>
          <w:color w:val="000000"/>
          <w:kern w:val="0"/>
          <w:sz w:val="28"/>
          <w:szCs w:val="28"/>
          <w:highlight w:val="none"/>
          <w:shd w:val="clear" w:color="auto" w:fill="FFFFFF"/>
          <w:lang w:val="en-US" w:eastAsia="zh-CN" w:bidi="ar-SA"/>
        </w:rPr>
        <w:t xml:space="preserve">                   乙方（盖</w:t>
      </w:r>
      <w:r>
        <w:rPr>
          <w:rFonts w:hint="eastAsia" w:ascii="仿宋" w:hAnsi="仿宋" w:eastAsia="仿宋" w:cs="仿宋"/>
          <w:color w:val="000000"/>
          <w:kern w:val="0"/>
          <w:sz w:val="28"/>
          <w:szCs w:val="28"/>
          <w:highlight w:val="none"/>
          <w:shd w:val="clear" w:color="auto" w:fill="FFFFFF"/>
          <w:lang w:val="zh-CN" w:eastAsia="zh-CN" w:bidi="ar-SA"/>
        </w:rPr>
        <w:t>章</w:t>
      </w:r>
      <w:r>
        <w:rPr>
          <w:rFonts w:hint="eastAsia" w:ascii="仿宋" w:hAnsi="仿宋" w:eastAsia="仿宋" w:cs="仿宋"/>
          <w:color w:val="000000"/>
          <w:kern w:val="0"/>
          <w:sz w:val="28"/>
          <w:szCs w:val="28"/>
          <w:highlight w:val="none"/>
          <w:shd w:val="clear" w:color="auto" w:fill="FFFFFF"/>
          <w:lang w:val="en-US" w:eastAsia="zh-CN" w:bidi="ar-SA"/>
        </w:rPr>
        <w:t>）</w:t>
      </w:r>
      <w:r>
        <w:rPr>
          <w:rFonts w:hint="eastAsia" w:ascii="仿宋" w:hAnsi="仿宋" w:eastAsia="仿宋" w:cs="仿宋"/>
          <w:color w:val="000000"/>
          <w:kern w:val="0"/>
          <w:sz w:val="28"/>
          <w:szCs w:val="28"/>
          <w:highlight w:val="none"/>
          <w:shd w:val="clear" w:color="auto" w:fill="FFFFFF"/>
          <w:lang w:val="zh-CN" w:eastAsia="zh-CN" w:bidi="ar-SA"/>
        </w:rPr>
        <w:t>：</w:t>
      </w:r>
    </w:p>
    <w:p w14:paraId="23D62EB5">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en-US" w:eastAsia="zh-CN" w:bidi="ar-SA"/>
        </w:rPr>
      </w:pPr>
    </w:p>
    <w:p w14:paraId="3A36563F">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en-US" w:eastAsia="zh-CN" w:bidi="ar-SA"/>
        </w:rPr>
      </w:pPr>
      <w:r>
        <w:rPr>
          <w:rFonts w:hint="eastAsia" w:ascii="仿宋" w:hAnsi="仿宋" w:eastAsia="仿宋" w:cs="仿宋"/>
          <w:color w:val="000000"/>
          <w:kern w:val="0"/>
          <w:sz w:val="28"/>
          <w:szCs w:val="28"/>
          <w:highlight w:val="none"/>
          <w:shd w:val="clear" w:color="auto" w:fill="FFFFFF"/>
          <w:lang w:val="en-US" w:eastAsia="zh-CN" w:bidi="ar-SA"/>
        </w:rPr>
        <w:t xml:space="preserve">签字：                           签字：                          </w:t>
      </w:r>
    </w:p>
    <w:p w14:paraId="1680AD7C">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en-US" w:eastAsia="zh-CN" w:bidi="ar-SA"/>
        </w:rPr>
      </w:pPr>
      <w:r>
        <w:rPr>
          <w:rFonts w:hint="eastAsia" w:ascii="仿宋" w:hAnsi="仿宋" w:eastAsia="仿宋" w:cs="仿宋"/>
          <w:color w:val="000000"/>
          <w:kern w:val="0"/>
          <w:sz w:val="28"/>
          <w:szCs w:val="28"/>
          <w:highlight w:val="none"/>
          <w:shd w:val="clear" w:color="auto" w:fill="FFFFFF"/>
          <w:lang w:val="en-US" w:eastAsia="zh-CN" w:bidi="ar-SA"/>
        </w:rPr>
        <w:t xml:space="preserve">                                        </w:t>
      </w:r>
    </w:p>
    <w:p w14:paraId="7D28E910">
      <w:pPr>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仿宋" w:hAnsi="仿宋" w:eastAsia="仿宋" w:cs="仿宋"/>
          <w:color w:val="000000"/>
          <w:kern w:val="0"/>
          <w:sz w:val="28"/>
          <w:szCs w:val="28"/>
          <w:highlight w:val="none"/>
          <w:shd w:val="clear" w:color="auto" w:fill="FFFFFF"/>
          <w:lang w:val="en-US" w:eastAsia="zh-CN" w:bidi="ar-SA"/>
        </w:rPr>
      </w:pPr>
    </w:p>
    <w:p w14:paraId="097B91EA">
      <w:pPr>
        <w:pStyle w:val="2"/>
        <w:rPr>
          <w:rFonts w:hint="eastAsia"/>
          <w:highlight w:val="none"/>
          <w:lang w:val="en-US" w:eastAsia="zh-CN"/>
        </w:rPr>
      </w:pPr>
    </w:p>
    <w:p w14:paraId="06DF5B78">
      <w:pPr>
        <w:tabs>
          <w:tab w:val="left" w:pos="1770"/>
        </w:tabs>
        <w:spacing w:line="500" w:lineRule="exact"/>
        <w:jc w:val="both"/>
        <w:outlineLvl w:val="0"/>
      </w:pPr>
      <w:r>
        <w:rPr>
          <w:rFonts w:hint="eastAsia" w:ascii="仿宋" w:hAnsi="仿宋" w:eastAsia="仿宋" w:cs="仿宋"/>
          <w:color w:val="000000"/>
          <w:kern w:val="0"/>
          <w:sz w:val="28"/>
          <w:szCs w:val="28"/>
          <w:highlight w:val="none"/>
          <w:shd w:val="clear" w:color="auto" w:fill="FFFFFF"/>
          <w:lang w:val="en-US" w:eastAsia="zh-CN" w:bidi="ar-SA"/>
        </w:rPr>
        <w:t xml:space="preserve">                                        年    月    日</w:t>
      </w:r>
    </w:p>
    <w:bookmarkEnd w:id="0"/>
    <w:sectPr>
      <w:headerReference r:id="rId3" w:type="default"/>
      <w:footerReference r:id="rId4" w:type="default"/>
      <w:pgSz w:w="11906" w:h="16838"/>
      <w:pgMar w:top="1134" w:right="1134" w:bottom="1134"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
    <w:panose1 w:val="02010609060101010101"/>
    <w:charset w:val="86"/>
    <w:family w:val="moder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D1BFF">
    <w:pPr>
      <w:pStyle w:val="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7F21A">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4OWNhMjFkNDQzNDA5MWU5MmIxZGQ1NjQxNzRlYTEifQ=="/>
  </w:docVars>
  <w:rsids>
    <w:rsidRoot w:val="02452D76"/>
    <w:rsid w:val="02452D76"/>
    <w:rsid w:val="0350415B"/>
    <w:rsid w:val="08AB4F45"/>
    <w:rsid w:val="20113A75"/>
    <w:rsid w:val="23A4125B"/>
    <w:rsid w:val="240A145E"/>
    <w:rsid w:val="2A2566F9"/>
    <w:rsid w:val="383D40BB"/>
    <w:rsid w:val="3B9122D7"/>
    <w:rsid w:val="3FC45C9E"/>
    <w:rsid w:val="3FD2122A"/>
    <w:rsid w:val="4AB934DD"/>
    <w:rsid w:val="5A4E68DC"/>
    <w:rsid w:val="5CE73BF8"/>
    <w:rsid w:val="5D252337"/>
    <w:rsid w:val="61885743"/>
    <w:rsid w:val="7A8558E0"/>
    <w:rsid w:val="7AAC259A"/>
    <w:rsid w:val="7E275D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semiHidden/>
    <w:unhideWhenUsed/>
    <w:qFormat/>
    <w:uiPriority w:val="99"/>
    <w:pPr>
      <w:ind w:firstLine="420" w:firstLineChars="200"/>
    </w:pPr>
  </w:style>
  <w:style w:type="paragraph" w:styleId="3">
    <w:name w:val="Body Text Indent"/>
    <w:basedOn w:val="1"/>
    <w:unhideWhenUsed/>
    <w:qFormat/>
    <w:uiPriority w:val="0"/>
    <w:pPr>
      <w:spacing w:after="120"/>
      <w:ind w:left="420" w:leftChars="200"/>
    </w:pPr>
  </w:style>
  <w:style w:type="paragraph" w:styleId="4">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1887</Words>
  <Characters>1915</Characters>
  <Lines>0</Lines>
  <Paragraphs>0</Paragraphs>
  <TotalTime>1</TotalTime>
  <ScaleCrop>false</ScaleCrop>
  <LinksUpToDate>false</LinksUpToDate>
  <CharactersWithSpaces>2135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2023-07-07T05:23:00Z</dcterms:created>
  <dc:creator>番茄土豆泥 。</dc:creator>
  <cp:lastModifiedBy>姜姝妍</cp:lastModifiedBy>
  <cp:lastPrinted>2023-09-01T02:39:00Z</cp:lastPrinted>
  <dcterms:modified xsi:type="dcterms:W3CDTF">2026-10-08T10:20:17Z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51DB0124324C4F9888E39119D54E5B39_11</vt:lpwstr>
  </property>
  <property fmtid="{D5CDD505-2E9C-101B-9397-08002B2CF9AE}" pid="4" name="KSOTemplateDocerSaveRecord">
    <vt:lpwstr>eyJoZGlkIjoiMzNkMjljYzI0YWNiOGNhMjllOWY1OTEyMGQ4NGZmNzAiLCJ1c2VySWQiOiIxNTczODgwMzkwIn0=</vt:lpwstr>
  </property>
</Properties>
</file>