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9CADA">
      <w:pPr>
        <w:spacing w:line="500" w:lineRule="exact"/>
        <w:rPr>
          <w:rFonts w:hint="eastAsia" w:ascii="仿宋" w:hAnsi="仿宋" w:eastAsia="仿宋" w:cs="仿宋"/>
          <w:b/>
          <w:bCs/>
          <w:color w:val="000000"/>
          <w:kern w:val="0"/>
          <w:sz w:val="28"/>
          <w:szCs w:val="28"/>
          <w:shd w:val="clear" w:color="auto" w:fill="FFFFFF"/>
        </w:rPr>
      </w:pPr>
      <w:r>
        <w:rPr>
          <w:rFonts w:hint="eastAsia" w:ascii="仿宋" w:hAnsi="仿宋" w:eastAsia="仿宋" w:cs="仿宋"/>
          <w:b/>
          <w:bCs/>
          <w:color w:val="000000"/>
          <w:kern w:val="0"/>
          <w:sz w:val="28"/>
          <w:szCs w:val="28"/>
          <w:shd w:val="clear" w:color="auto" w:fill="FFFFFF"/>
        </w:rPr>
        <w:t>一、作业协议</w:t>
      </w:r>
    </w:p>
    <w:p w14:paraId="6688CBC9">
      <w:pPr>
        <w:spacing w:line="400" w:lineRule="exact"/>
        <w:jc w:val="center"/>
        <w:rPr>
          <w:rFonts w:hint="eastAsia" w:ascii="方正小标宋简体" w:hAnsi="方正小标宋简体" w:eastAsia="方正小标宋简体" w:cs="方正小标宋简体"/>
          <w:color w:val="auto"/>
          <w:sz w:val="36"/>
          <w:szCs w:val="44"/>
          <w:highlight w:val="none"/>
          <w:lang w:val="en-US" w:eastAsia="zh-CN"/>
        </w:rPr>
      </w:pPr>
    </w:p>
    <w:p w14:paraId="71E8FC16">
      <w:pPr>
        <w:keepNext w:val="0"/>
        <w:keepLines w:val="0"/>
        <w:pageBreakBefore w:val="0"/>
        <w:widowControl w:val="0"/>
        <w:kinsoku/>
        <w:wordWrap/>
        <w:overflowPunct/>
        <w:topLinePunct w:val="0"/>
        <w:autoSpaceDE/>
        <w:autoSpaceDN/>
        <w:bidi w:val="0"/>
        <w:adjustRightInd/>
        <w:snapToGrid/>
        <w:spacing w:line="360" w:lineRule="auto"/>
        <w:ind w:firstLine="723" w:firstLineChars="200"/>
        <w:jc w:val="center"/>
        <w:textAlignment w:val="auto"/>
        <w:rPr>
          <w:rFonts w:hint="eastAsia" w:ascii="宋体" w:hAnsi="Times New Roman" w:eastAsia="宋体" w:cs="Times New Roman"/>
          <w:b/>
          <w:bCs/>
          <w:color w:val="auto"/>
          <w:sz w:val="36"/>
          <w:szCs w:val="36"/>
          <w:lang w:eastAsia="zh-CN"/>
        </w:rPr>
      </w:pPr>
      <w:r>
        <w:rPr>
          <w:rFonts w:hint="eastAsia" w:ascii="宋体" w:hAnsi="Times New Roman" w:eastAsia="宋体" w:cs="Times New Roman"/>
          <w:b/>
          <w:bCs/>
          <w:color w:val="auto"/>
          <w:sz w:val="36"/>
          <w:szCs w:val="36"/>
          <w:lang w:eastAsia="zh-CN"/>
        </w:rPr>
        <w:t>水稻收割作业协议</w:t>
      </w:r>
    </w:p>
    <w:p w14:paraId="2DAF958D">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zh-CN"/>
        </w:rPr>
        <w:t>甲方：</w:t>
      </w:r>
      <w:r>
        <w:rPr>
          <w:rFonts w:hint="eastAsia" w:asciiTheme="minorEastAsia" w:hAnsiTheme="minorEastAsia" w:eastAsiaTheme="minorEastAsia" w:cstheme="minorEastAsia"/>
          <w:color w:val="auto"/>
          <w:kern w:val="0"/>
          <w:sz w:val="24"/>
          <w:szCs w:val="24"/>
          <w:highlight w:val="none"/>
          <w:u w:val="single"/>
          <w:lang w:val="zh-CN"/>
        </w:rPr>
        <w:t>连云港市工投集团青口投资有限公司</w:t>
      </w:r>
      <w:r>
        <w:rPr>
          <w:rFonts w:hint="eastAsia" w:asciiTheme="minorEastAsia" w:hAnsiTheme="minorEastAsia" w:eastAsiaTheme="minorEastAsia" w:cstheme="minorEastAsia"/>
          <w:color w:val="auto"/>
          <w:kern w:val="0"/>
          <w:sz w:val="24"/>
          <w:szCs w:val="24"/>
          <w:highlight w:val="none"/>
          <w:u w:val="single"/>
          <w:lang w:val="en-US" w:eastAsia="zh-CN"/>
        </w:rPr>
        <w:t xml:space="preserve">  </w:t>
      </w:r>
      <w:r>
        <w:rPr>
          <w:rFonts w:hint="eastAsia" w:asciiTheme="minorEastAsia" w:hAnsiTheme="minorEastAsia" w:eastAsiaTheme="minorEastAsia" w:cstheme="minorEastAsia"/>
          <w:color w:val="auto"/>
          <w:kern w:val="0"/>
          <w:sz w:val="24"/>
          <w:szCs w:val="24"/>
          <w:highlight w:val="none"/>
          <w:lang w:val="en-US" w:eastAsia="zh-CN"/>
        </w:rPr>
        <w:t xml:space="preserve"> </w:t>
      </w:r>
    </w:p>
    <w:p w14:paraId="1282F872">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rPr>
          <w:rFonts w:hint="default" w:asciiTheme="minorEastAsia" w:hAnsiTheme="minorEastAsia" w:eastAsiaTheme="minorEastAsia" w:cstheme="minorEastAsia"/>
          <w:color w:val="auto"/>
          <w:kern w:val="0"/>
          <w:sz w:val="24"/>
          <w:szCs w:val="24"/>
          <w:highlight w:val="none"/>
          <w:lang w:val="en-US"/>
        </w:rPr>
      </w:pPr>
      <w:r>
        <w:rPr>
          <w:rFonts w:hint="eastAsia" w:asciiTheme="minorEastAsia" w:hAnsiTheme="minorEastAsia" w:eastAsiaTheme="minorEastAsia" w:cstheme="minorEastAsia"/>
          <w:color w:val="auto"/>
          <w:kern w:val="0"/>
          <w:sz w:val="24"/>
          <w:szCs w:val="24"/>
          <w:highlight w:val="none"/>
          <w:lang w:val="zh-CN"/>
        </w:rPr>
        <w:t>乙方：</w:t>
      </w:r>
      <w:r>
        <w:rPr>
          <w:rFonts w:hint="eastAsia" w:asciiTheme="minorEastAsia" w:hAnsiTheme="minorEastAsia" w:eastAsiaTheme="minorEastAsia" w:cstheme="minorEastAsia"/>
          <w:color w:val="auto"/>
          <w:kern w:val="0"/>
          <w:sz w:val="24"/>
          <w:szCs w:val="24"/>
          <w:highlight w:val="none"/>
          <w:u w:val="single"/>
          <w:lang w:val="en-US" w:eastAsia="zh-CN"/>
        </w:rPr>
        <w:t xml:space="preserve">                                  </w:t>
      </w:r>
    </w:p>
    <w:p w14:paraId="743175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zh-CN"/>
        </w:rPr>
        <w:t>为快速抢收甲方农田内种植的水稻，由乙方提供收割作业服务，经双方协商，对2026年水稻收割达成以下协议：</w:t>
      </w:r>
    </w:p>
    <w:p w14:paraId="4EFE36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zh-CN"/>
        </w:rPr>
        <w:t>签订本协议前，乙方已对甲方生产区域、道路交通等做详细了解，对作业期间可能出现陷车、倒伏等不利因素均已考虑，乙方自愿承担以上潜在风险，自负盈亏。</w:t>
      </w:r>
    </w:p>
    <w:p w14:paraId="18845C8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cs="宋体" w:asciiTheme="minorEastAsia" w:hAnsiTheme="minorEastAsia" w:eastAsiaTheme="minorEastAsia"/>
          <w:b/>
          <w:bCs/>
          <w:color w:val="auto"/>
          <w:sz w:val="24"/>
          <w:highlight w:val="none"/>
        </w:rPr>
      </w:pPr>
      <w:r>
        <w:rPr>
          <w:rFonts w:hint="eastAsia" w:asciiTheme="minorEastAsia" w:hAnsiTheme="minorEastAsia" w:eastAsiaTheme="minorEastAsia" w:cstheme="minorEastAsia"/>
          <w:b/>
          <w:bCs/>
          <w:color w:val="auto"/>
          <w:kern w:val="0"/>
          <w:sz w:val="24"/>
          <w:szCs w:val="24"/>
          <w:highlight w:val="none"/>
          <w:lang w:val="zh-CN"/>
        </w:rPr>
        <w:t>一、</w:t>
      </w:r>
      <w:r>
        <w:rPr>
          <w:rFonts w:hint="eastAsia" w:cs="宋体" w:asciiTheme="minorEastAsia" w:hAnsiTheme="minorEastAsia" w:eastAsiaTheme="minorEastAsia"/>
          <w:b/>
          <w:bCs/>
          <w:color w:val="auto"/>
          <w:sz w:val="24"/>
          <w:highlight w:val="none"/>
        </w:rPr>
        <w:t>作业地点、时间、作业内容</w:t>
      </w:r>
    </w:p>
    <w:p w14:paraId="3FDD04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1.</w:t>
      </w:r>
      <w:r>
        <w:rPr>
          <w:rFonts w:hint="eastAsia" w:cs="宋体" w:asciiTheme="minorEastAsia" w:hAnsiTheme="minorEastAsia" w:eastAsiaTheme="minorEastAsia"/>
          <w:color w:val="auto"/>
          <w:sz w:val="24"/>
          <w:highlight w:val="none"/>
        </w:rPr>
        <w:t>作业地点：</w:t>
      </w:r>
      <w:r>
        <w:rPr>
          <w:rFonts w:hint="eastAsia" w:cs="宋体" w:asciiTheme="minorEastAsia" w:hAnsiTheme="minorEastAsia" w:eastAsiaTheme="minorEastAsia"/>
          <w:color w:val="auto"/>
          <w:sz w:val="24"/>
          <w:highlight w:val="none"/>
          <w:lang w:eastAsia="zh-CN"/>
        </w:rPr>
        <w:t>青口投资公司</w:t>
      </w:r>
      <w:r>
        <w:rPr>
          <w:rFonts w:hint="eastAsia" w:cs="宋体" w:asciiTheme="minorEastAsia" w:hAnsiTheme="minorEastAsia" w:eastAsiaTheme="minorEastAsia"/>
          <w:color w:val="auto"/>
          <w:sz w:val="24"/>
          <w:highlight w:val="none"/>
        </w:rPr>
        <w:t>自营农田</w:t>
      </w:r>
      <w:r>
        <w:rPr>
          <w:rFonts w:hint="eastAsia" w:cs="宋体" w:asciiTheme="minorEastAsia" w:hAnsiTheme="minorEastAsia" w:eastAsiaTheme="minorEastAsia"/>
          <w:color w:val="auto"/>
          <w:sz w:val="24"/>
          <w:highlight w:val="none"/>
          <w:lang w:val="en-US" w:eastAsia="zh-CN"/>
        </w:rPr>
        <w:t>约10449亩</w:t>
      </w:r>
      <w:r>
        <w:rPr>
          <w:rFonts w:hint="eastAsia" w:cs="宋体" w:asciiTheme="minorEastAsia" w:hAnsiTheme="minorEastAsia" w:eastAsiaTheme="minorEastAsia"/>
          <w:color w:val="auto"/>
          <w:sz w:val="24"/>
          <w:highlight w:val="none"/>
        </w:rPr>
        <w:t>；</w:t>
      </w:r>
    </w:p>
    <w:p w14:paraId="789241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宋体" w:asciiTheme="minorEastAsia" w:hAnsiTheme="minorEastAsia" w:eastAsiaTheme="minorEastAsia"/>
          <w:color w:val="auto"/>
          <w:sz w:val="24"/>
          <w:highlight w:val="none"/>
          <w:u w:val="none"/>
          <w:lang w:val="en-US" w:eastAsia="zh-CN"/>
        </w:rPr>
      </w:pPr>
      <w:r>
        <w:rPr>
          <w:rFonts w:hint="eastAsia" w:cs="宋体" w:asciiTheme="minorEastAsia" w:hAnsiTheme="minorEastAsia" w:eastAsiaTheme="minorEastAsia"/>
          <w:color w:val="auto"/>
          <w:sz w:val="24"/>
          <w:highlight w:val="none"/>
          <w:lang w:val="en-US" w:eastAsia="zh-CN"/>
        </w:rPr>
        <w:t>2.</w:t>
      </w:r>
      <w:r>
        <w:rPr>
          <w:rFonts w:hint="eastAsia" w:cs="宋体" w:asciiTheme="minorEastAsia" w:hAnsiTheme="minorEastAsia" w:eastAsiaTheme="minorEastAsia"/>
          <w:color w:val="auto"/>
          <w:sz w:val="24"/>
          <w:highlight w:val="none"/>
        </w:rPr>
        <w:t>作业时间</w:t>
      </w:r>
      <w:r>
        <w:rPr>
          <w:rFonts w:hint="eastAsia" w:cs="宋体" w:asciiTheme="minorEastAsia" w:hAnsiTheme="minorEastAsia" w:eastAsiaTheme="minorEastAsia"/>
          <w:color w:val="auto"/>
          <w:sz w:val="24"/>
          <w:highlight w:val="none"/>
          <w:lang w:eastAsia="zh-CN"/>
        </w:rPr>
        <w:t>：</w:t>
      </w:r>
      <w:r>
        <w:rPr>
          <w:rFonts w:hint="eastAsia" w:cs="宋体" w:asciiTheme="minorEastAsia" w:hAnsiTheme="minorEastAsia" w:eastAsiaTheme="minorEastAsia"/>
          <w:color w:val="auto"/>
          <w:sz w:val="24"/>
          <w:highlight w:val="none"/>
          <w:u w:val="none"/>
          <w:lang w:eastAsia="zh-CN"/>
        </w:rPr>
        <w:t>2026</w:t>
      </w:r>
      <w:r>
        <w:rPr>
          <w:rFonts w:hint="eastAsia" w:cs="宋体" w:asciiTheme="minorEastAsia" w:hAnsiTheme="minorEastAsia" w:eastAsiaTheme="minorEastAsia"/>
          <w:color w:val="auto"/>
          <w:sz w:val="24"/>
          <w:highlight w:val="none"/>
          <w:u w:val="none"/>
        </w:rPr>
        <w:t>年</w:t>
      </w:r>
      <w:r>
        <w:rPr>
          <w:rFonts w:hint="eastAsia" w:cs="宋体" w:asciiTheme="minorEastAsia" w:hAnsiTheme="minorEastAsia" w:eastAsiaTheme="minorEastAsia"/>
          <w:color w:val="auto"/>
          <w:sz w:val="24"/>
          <w:highlight w:val="none"/>
          <w:u w:val="none"/>
          <w:lang w:val="en-US" w:eastAsia="zh-CN"/>
        </w:rPr>
        <w:t>10月下旬</w:t>
      </w:r>
    </w:p>
    <w:p w14:paraId="319AAA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宋体" w:asciiTheme="minorEastAsia" w:hAnsiTheme="minorEastAsia" w:eastAsiaTheme="minorEastAsia"/>
          <w:color w:val="auto"/>
          <w:sz w:val="24"/>
          <w:highlight w:val="none"/>
          <w:lang w:eastAsia="zh-CN"/>
        </w:rPr>
      </w:pPr>
      <w:r>
        <w:rPr>
          <w:rFonts w:hint="eastAsia" w:cs="宋体" w:asciiTheme="minorEastAsia" w:hAnsiTheme="minorEastAsia" w:eastAsiaTheme="minorEastAsia"/>
          <w:color w:val="auto"/>
          <w:sz w:val="24"/>
          <w:highlight w:val="none"/>
          <w:lang w:val="en-US" w:eastAsia="zh-CN"/>
        </w:rPr>
        <w:t>3.</w:t>
      </w:r>
      <w:r>
        <w:rPr>
          <w:rFonts w:hint="eastAsia" w:cs="宋体" w:asciiTheme="minorEastAsia" w:hAnsiTheme="minorEastAsia" w:eastAsiaTheme="minorEastAsia"/>
          <w:color w:val="auto"/>
          <w:sz w:val="24"/>
          <w:highlight w:val="none"/>
        </w:rPr>
        <w:t>作业内容</w:t>
      </w:r>
      <w:r>
        <w:rPr>
          <w:rFonts w:hint="eastAsia" w:cs="宋体"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rPr>
        <w:t>在约定时间内</w:t>
      </w:r>
      <w:r>
        <w:rPr>
          <w:rFonts w:hint="eastAsia" w:asciiTheme="minorEastAsia" w:hAnsiTheme="minorEastAsia" w:eastAsiaTheme="minorEastAsia"/>
          <w:i w:val="0"/>
          <w:iCs w:val="0"/>
          <w:color w:val="auto"/>
          <w:sz w:val="24"/>
          <w:highlight w:val="none"/>
          <w:lang w:val="en-US" w:eastAsia="zh-CN"/>
        </w:rPr>
        <w:t>，依照生产单位安排，完成自营种</w:t>
      </w:r>
      <w:r>
        <w:rPr>
          <w:rFonts w:hint="eastAsia" w:asciiTheme="minorEastAsia" w:hAnsiTheme="minorEastAsia" w:eastAsiaTheme="minorEastAsia"/>
          <w:b w:val="0"/>
          <w:bCs w:val="0"/>
          <w:i w:val="0"/>
          <w:iCs w:val="0"/>
          <w:color w:val="auto"/>
          <w:sz w:val="24"/>
          <w:highlight w:val="none"/>
          <w:lang w:val="en-US" w:eastAsia="zh-CN"/>
        </w:rPr>
        <w:t>植水稻收</w:t>
      </w:r>
      <w:r>
        <w:rPr>
          <w:rFonts w:hint="eastAsia" w:asciiTheme="minorEastAsia" w:hAnsiTheme="minorEastAsia" w:eastAsiaTheme="minorEastAsia"/>
          <w:i w:val="0"/>
          <w:iCs w:val="0"/>
          <w:color w:val="auto"/>
          <w:sz w:val="24"/>
          <w:highlight w:val="none"/>
          <w:lang w:val="en-US" w:eastAsia="zh-CN"/>
        </w:rPr>
        <w:t>割，并运送到农场范围内指定地点。</w:t>
      </w:r>
    </w:p>
    <w:p w14:paraId="3BD251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b/>
          <w:bCs w:val="0"/>
          <w:color w:val="auto"/>
          <w:sz w:val="22"/>
          <w:szCs w:val="22"/>
          <w:highlight w:val="none"/>
          <w:lang w:val="en-US" w:eastAsia="zh-CN"/>
        </w:rPr>
      </w:pPr>
      <w:r>
        <w:rPr>
          <w:rFonts w:hint="eastAsia" w:cs="宋体" w:asciiTheme="minorEastAsia" w:hAnsiTheme="minorEastAsia" w:eastAsiaTheme="minorEastAsia"/>
          <w:color w:val="auto"/>
          <w:sz w:val="24"/>
          <w:highlight w:val="none"/>
          <w:lang w:val="en-US" w:eastAsia="zh-CN"/>
        </w:rPr>
        <w:t>4.机械车辆要求：</w:t>
      </w:r>
      <w:r>
        <w:rPr>
          <w:rFonts w:hint="eastAsia" w:asciiTheme="minorEastAsia" w:hAnsiTheme="minorEastAsia" w:eastAsiaTheme="minorEastAsia"/>
          <w:b/>
          <w:bCs w:val="0"/>
          <w:color w:val="auto"/>
          <w:sz w:val="22"/>
          <w:szCs w:val="22"/>
          <w:highlight w:val="none"/>
          <w:lang w:val="en-US" w:eastAsia="zh-CN"/>
        </w:rPr>
        <w:t>采用全喂入履带式收割机，机型须为2024年及以后生产的型号，其中2025年及以后生产的机型占比不低于70%，中大型轮式收割机禁止进场，全喂入式作业总损失率</w:t>
      </w:r>
      <w:r>
        <w:rPr>
          <w:rFonts w:hint="eastAsia" w:ascii="宋体" w:hAnsi="宋体" w:eastAsia="宋体" w:cs="宋体"/>
          <w:b/>
          <w:bCs w:val="0"/>
          <w:color w:val="auto"/>
          <w:sz w:val="22"/>
          <w:szCs w:val="22"/>
          <w:highlight w:val="none"/>
          <w:lang w:val="en-US" w:eastAsia="zh-CN"/>
        </w:rPr>
        <w:t>≤3.5 %</w:t>
      </w:r>
      <w:r>
        <w:rPr>
          <w:rFonts w:hint="eastAsia" w:asciiTheme="minorEastAsia" w:hAnsiTheme="minorEastAsia" w:eastAsiaTheme="minorEastAsia" w:cstheme="minorEastAsia"/>
          <w:b/>
          <w:bCs w:val="0"/>
          <w:color w:val="auto"/>
          <w:sz w:val="22"/>
          <w:szCs w:val="22"/>
          <w:highlight w:val="none"/>
          <w:lang w:val="en-US" w:eastAsia="zh-CN"/>
        </w:rPr>
        <w:t>，秸秆留茬高度</w:t>
      </w:r>
      <w:r>
        <w:rPr>
          <w:rFonts w:hint="eastAsia" w:ascii="宋体" w:hAnsi="宋体" w:eastAsia="宋体" w:cs="宋体"/>
          <w:b/>
          <w:bCs w:val="0"/>
          <w:color w:val="auto"/>
          <w:sz w:val="22"/>
          <w:szCs w:val="22"/>
          <w:highlight w:val="none"/>
          <w:lang w:val="en-US" w:eastAsia="zh-CN"/>
        </w:rPr>
        <w:t>≤</w:t>
      </w:r>
      <w:r>
        <w:rPr>
          <w:rFonts w:hint="eastAsia" w:ascii="宋体" w:hAnsi="宋体" w:cs="宋体"/>
          <w:b/>
          <w:bCs w:val="0"/>
          <w:color w:val="auto"/>
          <w:sz w:val="22"/>
          <w:szCs w:val="22"/>
          <w:highlight w:val="none"/>
          <w:lang w:val="en-US" w:eastAsia="zh-CN"/>
        </w:rPr>
        <w:t>10CM，</w:t>
      </w:r>
      <w:r>
        <w:rPr>
          <w:rFonts w:hint="eastAsia" w:asciiTheme="minorEastAsia" w:hAnsiTheme="minorEastAsia" w:eastAsiaTheme="minorEastAsia"/>
          <w:b/>
          <w:bCs w:val="0"/>
          <w:color w:val="auto"/>
          <w:sz w:val="22"/>
          <w:szCs w:val="22"/>
          <w:highlight w:val="none"/>
          <w:lang w:val="en-US" w:eastAsia="zh-CN"/>
        </w:rPr>
        <w:t>含短途转运服务。</w:t>
      </w:r>
    </w:p>
    <w:p w14:paraId="6A06D36D">
      <w:pPr>
        <w:spacing w:line="360" w:lineRule="auto"/>
        <w:ind w:firstLine="480" w:firstLineChars="200"/>
        <w:rPr>
          <w:rFonts w:hint="eastAsia"/>
          <w:color w:val="auto"/>
          <w:lang w:val="en-US" w:eastAsia="zh-CN"/>
        </w:rPr>
      </w:pPr>
      <w:r>
        <w:rPr>
          <w:rFonts w:hint="eastAsia" w:asciiTheme="minorEastAsia" w:hAnsiTheme="minorEastAsia" w:eastAsiaTheme="minorEastAsia"/>
          <w:i w:val="0"/>
          <w:iCs w:val="0"/>
          <w:color w:val="auto"/>
          <w:sz w:val="24"/>
          <w:highlight w:val="none"/>
          <w:lang w:val="en-US" w:eastAsia="zh-CN"/>
        </w:rPr>
        <w:t>5.</w:t>
      </w:r>
      <w:r>
        <w:rPr>
          <w:rFonts w:hint="eastAsia" w:asciiTheme="minorEastAsia" w:hAnsiTheme="minorEastAsia" w:eastAsiaTheme="minorEastAsia"/>
          <w:b/>
          <w:bCs/>
          <w:i w:val="0"/>
          <w:iCs w:val="0"/>
          <w:color w:val="auto"/>
          <w:sz w:val="24"/>
          <w:highlight w:val="none"/>
          <w:lang w:val="en-US" w:eastAsia="zh-CN"/>
        </w:rPr>
        <w:t>转运车辆禁止使用非法改装车辆，</w:t>
      </w:r>
      <w:r>
        <w:rPr>
          <w:rFonts w:hint="eastAsia" w:asciiTheme="minorEastAsia" w:hAnsiTheme="minorEastAsia" w:eastAsiaTheme="minorEastAsia" w:cstheme="minorEastAsia"/>
          <w:b/>
          <w:bCs/>
          <w:i w:val="0"/>
          <w:iCs w:val="0"/>
          <w:color w:val="auto"/>
          <w:sz w:val="24"/>
          <w:szCs w:val="24"/>
          <w:highlight w:val="none"/>
          <w:lang w:val="en-US" w:eastAsia="zh-CN"/>
        </w:rPr>
        <w:t>非甲方同意转运车辆不许进入田间道路运粮。</w:t>
      </w:r>
    </w:p>
    <w:p w14:paraId="38C336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Theme="minorEastAsia" w:hAnsiTheme="minorEastAsia" w:eastAsiaTheme="minorEastAsia" w:cstheme="minorEastAsia"/>
          <w:b/>
          <w:bCs/>
          <w:color w:val="auto"/>
          <w:kern w:val="0"/>
          <w:sz w:val="24"/>
          <w:szCs w:val="24"/>
          <w:highlight w:val="none"/>
          <w:lang w:val="zh-CN"/>
        </w:rPr>
      </w:pPr>
      <w:r>
        <w:rPr>
          <w:rFonts w:hint="eastAsia" w:asciiTheme="minorEastAsia" w:hAnsiTheme="minorEastAsia" w:eastAsiaTheme="minorEastAsia" w:cstheme="minorEastAsia"/>
          <w:b/>
          <w:bCs/>
          <w:color w:val="auto"/>
          <w:kern w:val="0"/>
          <w:sz w:val="24"/>
          <w:szCs w:val="24"/>
          <w:highlight w:val="none"/>
          <w:lang w:val="zh-CN"/>
        </w:rPr>
        <w:t>二、作业价格及结算方式</w:t>
      </w:r>
    </w:p>
    <w:p w14:paraId="210F38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宋体" w:asciiTheme="minorEastAsia" w:hAnsiTheme="minorEastAsia" w:eastAsiaTheme="minorEastAsia"/>
          <w:color w:val="auto"/>
          <w:sz w:val="24"/>
          <w:highlight w:val="none"/>
          <w:lang w:val="en-US" w:eastAsia="zh-CN"/>
        </w:rPr>
      </w:pPr>
      <w:r>
        <w:rPr>
          <w:rFonts w:hint="eastAsia" w:cs="宋体" w:asciiTheme="minorEastAsia" w:hAnsiTheme="minorEastAsia" w:eastAsiaTheme="minorEastAsia"/>
          <w:color w:val="auto"/>
          <w:sz w:val="24"/>
          <w:highlight w:val="none"/>
          <w:lang w:val="zh-CN" w:eastAsia="zh-CN"/>
        </w:rPr>
        <w:t>1</w:t>
      </w:r>
      <w:r>
        <w:rPr>
          <w:rFonts w:hint="eastAsia" w:cs="宋体" w:asciiTheme="minorEastAsia" w:hAnsiTheme="minorEastAsia" w:eastAsiaTheme="minorEastAsia"/>
          <w:color w:val="auto"/>
          <w:sz w:val="24"/>
          <w:highlight w:val="none"/>
          <w:lang w:val="en-US" w:eastAsia="zh-CN"/>
        </w:rPr>
        <w:t>.</w:t>
      </w:r>
      <w:r>
        <w:rPr>
          <w:rFonts w:hint="eastAsia" w:cs="宋体" w:asciiTheme="minorEastAsia" w:hAnsiTheme="minorEastAsia" w:eastAsiaTheme="minorEastAsia"/>
          <w:color w:val="auto"/>
          <w:sz w:val="24"/>
          <w:highlight w:val="none"/>
          <w:lang w:val="zh-CN" w:eastAsia="zh-CN"/>
        </w:rPr>
        <w:t>作业单价：</w:t>
      </w:r>
      <w:r>
        <w:rPr>
          <w:rFonts w:hint="eastAsia" w:cs="宋体" w:asciiTheme="minorEastAsia" w:hAnsiTheme="minorEastAsia" w:eastAsiaTheme="minorEastAsia"/>
          <w:color w:val="auto"/>
          <w:sz w:val="24"/>
          <w:highlight w:val="none"/>
          <w:u w:val="single"/>
          <w:lang w:val="en-US" w:eastAsia="zh-CN"/>
        </w:rPr>
        <w:t xml:space="preserve">      </w:t>
      </w:r>
      <w:r>
        <w:rPr>
          <w:rFonts w:hint="eastAsia" w:cs="宋体" w:asciiTheme="minorEastAsia" w:hAnsiTheme="minorEastAsia" w:eastAsiaTheme="minorEastAsia"/>
          <w:color w:val="auto"/>
          <w:sz w:val="24"/>
          <w:highlight w:val="none"/>
          <w:lang w:val="en-US" w:eastAsia="zh-CN"/>
        </w:rPr>
        <w:t>元/亩。</w:t>
      </w:r>
    </w:p>
    <w:p w14:paraId="26D4FE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cs="宋体" w:asciiTheme="minorEastAsia" w:hAnsiTheme="minorEastAsia" w:eastAsiaTheme="minorEastAsia"/>
          <w:color w:val="auto"/>
          <w:sz w:val="24"/>
          <w:highlight w:val="none"/>
          <w:lang w:val="en-US" w:eastAsia="zh-CN"/>
        </w:rPr>
        <w:t>2.结算方式：乙方开具有效发票，</w:t>
      </w:r>
      <w:r>
        <w:rPr>
          <w:rFonts w:hint="eastAsia" w:cs="宋体" w:asciiTheme="minorEastAsia" w:hAnsiTheme="minorEastAsia" w:eastAsiaTheme="minorEastAsia"/>
          <w:color w:val="auto"/>
          <w:sz w:val="24"/>
          <w:highlight w:val="none"/>
        </w:rPr>
        <w:t>凭</w:t>
      </w:r>
      <w:r>
        <w:rPr>
          <w:rFonts w:hint="eastAsia" w:cs="宋体" w:asciiTheme="minorEastAsia" w:hAnsiTheme="minorEastAsia" w:eastAsiaTheme="minorEastAsia"/>
          <w:color w:val="auto"/>
          <w:sz w:val="24"/>
          <w:highlight w:val="none"/>
          <w:lang w:eastAsia="zh-CN"/>
        </w:rPr>
        <w:t>甲方水稻收割作业质量验收单</w:t>
      </w:r>
      <w:r>
        <w:rPr>
          <w:rFonts w:hint="eastAsia" w:cs="宋体" w:asciiTheme="minorEastAsia" w:hAnsiTheme="minorEastAsia" w:eastAsiaTheme="minorEastAsia"/>
          <w:color w:val="auto"/>
          <w:sz w:val="24"/>
          <w:highlight w:val="none"/>
        </w:rPr>
        <w:t>到青口投资公司</w:t>
      </w:r>
      <w:r>
        <w:rPr>
          <w:rFonts w:hint="eastAsia" w:cs="宋体" w:asciiTheme="minorEastAsia" w:hAnsiTheme="minorEastAsia" w:eastAsiaTheme="minorEastAsia"/>
          <w:color w:val="auto"/>
          <w:sz w:val="24"/>
          <w:highlight w:val="none"/>
          <w:lang w:eastAsia="zh-CN"/>
        </w:rPr>
        <w:t>结算</w:t>
      </w:r>
      <w:r>
        <w:rPr>
          <w:rFonts w:hint="eastAsia" w:cs="宋体" w:asciiTheme="minorEastAsia" w:hAnsiTheme="minorEastAsia" w:eastAsiaTheme="minorEastAsia"/>
          <w:color w:val="auto"/>
          <w:sz w:val="24"/>
          <w:highlight w:val="none"/>
        </w:rPr>
        <w:t>，各项税金均由乙方承担。</w:t>
      </w:r>
      <w:r>
        <w:rPr>
          <w:rFonts w:hint="eastAsia" w:asciiTheme="minorEastAsia" w:hAnsiTheme="minorEastAsia" w:eastAsiaTheme="minorEastAsia" w:cstheme="minorEastAsia"/>
          <w:color w:val="auto"/>
          <w:kern w:val="0"/>
          <w:sz w:val="24"/>
          <w:szCs w:val="24"/>
          <w:highlight w:val="none"/>
          <w:lang w:val="zh-CN"/>
        </w:rPr>
        <w:t>乙方须服从作业安排，按时完成作业任务，无违约，作业结束后，甲方将</w:t>
      </w:r>
      <w:r>
        <w:rPr>
          <w:rFonts w:hint="eastAsia" w:asciiTheme="minorEastAsia" w:hAnsiTheme="minorEastAsia" w:eastAsiaTheme="minorEastAsia" w:cstheme="minorEastAsia"/>
          <w:color w:val="auto"/>
          <w:kern w:val="0"/>
          <w:sz w:val="24"/>
          <w:szCs w:val="24"/>
          <w:highlight w:val="none"/>
          <w:lang w:val="en-US" w:eastAsia="zh-CN"/>
        </w:rPr>
        <w:t>全额</w:t>
      </w:r>
      <w:r>
        <w:rPr>
          <w:rFonts w:hint="eastAsia" w:asciiTheme="minorEastAsia" w:hAnsiTheme="minorEastAsia" w:eastAsiaTheme="minorEastAsia" w:cstheme="minorEastAsia"/>
          <w:color w:val="auto"/>
          <w:kern w:val="0"/>
          <w:sz w:val="24"/>
          <w:szCs w:val="24"/>
          <w:highlight w:val="none"/>
          <w:lang w:val="zh-CN"/>
        </w:rPr>
        <w:t>无息退还乙方合同履约保证金人民币</w:t>
      </w:r>
      <w:r>
        <w:rPr>
          <w:rFonts w:hint="eastAsia" w:asciiTheme="minorEastAsia" w:hAnsiTheme="minorEastAsia" w:eastAsiaTheme="minorEastAsia" w:cstheme="minorEastAsia"/>
          <w:b/>
          <w:bCs/>
          <w:color w:val="auto"/>
          <w:kern w:val="0"/>
          <w:sz w:val="24"/>
          <w:szCs w:val="24"/>
          <w:highlight w:val="none"/>
          <w:u w:val="single"/>
          <w:lang w:val="en-US" w:eastAsia="zh-CN"/>
        </w:rPr>
        <w:t xml:space="preserve">     </w:t>
      </w:r>
      <w:bookmarkStart w:id="0" w:name="_GoBack"/>
      <w:bookmarkEnd w:id="0"/>
      <w:r>
        <w:rPr>
          <w:rFonts w:hint="eastAsia" w:asciiTheme="minorEastAsia" w:hAnsiTheme="minorEastAsia" w:eastAsiaTheme="minorEastAsia" w:cstheme="minorEastAsia"/>
          <w:color w:val="auto"/>
          <w:kern w:val="0"/>
          <w:sz w:val="24"/>
          <w:szCs w:val="24"/>
          <w:highlight w:val="none"/>
          <w:lang w:val="en-US" w:eastAsia="zh-CN"/>
        </w:rPr>
        <w:t>元整</w:t>
      </w:r>
      <w:r>
        <w:rPr>
          <w:rFonts w:hint="eastAsia" w:asciiTheme="minorEastAsia" w:hAnsiTheme="minorEastAsia" w:eastAsiaTheme="minorEastAsia" w:cstheme="minorEastAsia"/>
          <w:color w:val="auto"/>
          <w:kern w:val="0"/>
          <w:sz w:val="24"/>
          <w:szCs w:val="24"/>
          <w:highlight w:val="none"/>
          <w:lang w:val="zh-CN"/>
        </w:rPr>
        <w:t>。</w:t>
      </w:r>
    </w:p>
    <w:p w14:paraId="215CA7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Theme="minorEastAsia" w:hAnsiTheme="minorEastAsia" w:eastAsiaTheme="minorEastAsia" w:cstheme="minorEastAsia"/>
          <w:b/>
          <w:bCs/>
          <w:color w:val="auto"/>
          <w:kern w:val="0"/>
          <w:sz w:val="24"/>
          <w:szCs w:val="24"/>
          <w:highlight w:val="none"/>
          <w:lang w:val="zh-CN"/>
        </w:rPr>
      </w:pPr>
      <w:r>
        <w:rPr>
          <w:rFonts w:hint="eastAsia" w:asciiTheme="minorEastAsia" w:hAnsiTheme="minorEastAsia" w:eastAsiaTheme="minorEastAsia" w:cstheme="minorEastAsia"/>
          <w:b/>
          <w:bCs/>
          <w:color w:val="auto"/>
          <w:kern w:val="0"/>
          <w:sz w:val="24"/>
          <w:szCs w:val="24"/>
          <w:highlight w:val="none"/>
          <w:lang w:val="zh-CN"/>
        </w:rPr>
        <w:t>三、作业要求</w:t>
      </w:r>
    </w:p>
    <w:p w14:paraId="4A40AF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cs="宋体" w:asciiTheme="minorEastAsia" w:hAnsiTheme="minorEastAsia" w:eastAsiaTheme="minorEastAsia"/>
          <w:color w:val="auto"/>
          <w:sz w:val="24"/>
          <w:highlight w:val="none"/>
          <w:lang w:eastAsia="zh-CN"/>
        </w:rPr>
      </w:pPr>
      <w:r>
        <w:rPr>
          <w:rFonts w:hint="eastAsia" w:cs="宋体" w:asciiTheme="minorEastAsia" w:hAnsiTheme="minorEastAsia" w:eastAsiaTheme="minorEastAsia"/>
          <w:color w:val="auto"/>
          <w:sz w:val="24"/>
          <w:highlight w:val="none"/>
          <w:lang w:val="en-US" w:eastAsia="zh-CN"/>
        </w:rPr>
        <w:t>1.</w:t>
      </w:r>
      <w:r>
        <w:rPr>
          <w:rFonts w:hint="eastAsia" w:cs="宋体" w:asciiTheme="minorEastAsia" w:hAnsiTheme="minorEastAsia" w:eastAsiaTheme="minorEastAsia"/>
          <w:color w:val="auto"/>
          <w:sz w:val="24"/>
          <w:highlight w:val="none"/>
        </w:rPr>
        <w:t>乙方应服从甲方统一调配，按协议要求，准时到达甲方指定地点开展</w:t>
      </w:r>
      <w:r>
        <w:rPr>
          <w:rFonts w:hint="eastAsia" w:cs="宋体" w:asciiTheme="minorEastAsia" w:hAnsiTheme="minorEastAsia" w:eastAsiaTheme="minorEastAsia"/>
          <w:color w:val="auto"/>
          <w:sz w:val="24"/>
          <w:highlight w:val="none"/>
          <w:lang w:eastAsia="zh-CN"/>
        </w:rPr>
        <w:t>水稻收割</w:t>
      </w:r>
      <w:r>
        <w:rPr>
          <w:rFonts w:hint="eastAsia" w:cs="宋体" w:asciiTheme="minorEastAsia" w:hAnsiTheme="minorEastAsia" w:eastAsiaTheme="minorEastAsia"/>
          <w:color w:val="auto"/>
          <w:sz w:val="24"/>
          <w:highlight w:val="none"/>
        </w:rPr>
        <w:t>作业并在协议时间内完成作业</w:t>
      </w:r>
      <w:r>
        <w:rPr>
          <w:rFonts w:hint="eastAsia" w:cs="宋体" w:asciiTheme="minorEastAsia" w:hAnsiTheme="minorEastAsia" w:eastAsiaTheme="minorEastAsia"/>
          <w:color w:val="auto"/>
          <w:sz w:val="24"/>
          <w:highlight w:val="none"/>
          <w:lang w:eastAsia="zh-CN"/>
        </w:rPr>
        <w:t>。</w:t>
      </w:r>
      <w:r>
        <w:rPr>
          <w:rFonts w:hint="eastAsia" w:cs="宋体" w:asciiTheme="minorEastAsia" w:hAnsiTheme="minorEastAsia" w:eastAsiaTheme="minorEastAsia"/>
          <w:b/>
          <w:bCs/>
          <w:color w:val="auto"/>
          <w:sz w:val="24"/>
          <w:highlight w:val="none"/>
          <w:lang w:eastAsia="zh-CN"/>
        </w:rPr>
        <w:t>收割作业中，收割机卸粮须全程导入甲方统一指定编号的运输车辆内，若甲方在日常巡查中发现一次未按此要求操作</w:t>
      </w:r>
      <w:r>
        <w:rPr>
          <w:rFonts w:hint="eastAsia" w:cs="宋体" w:asciiTheme="minorEastAsia" w:hAnsiTheme="minorEastAsia" w:eastAsiaTheme="minorEastAsia"/>
          <w:b/>
          <w:bCs/>
          <w:color w:val="auto"/>
          <w:sz w:val="24"/>
          <w:highlight w:val="none"/>
          <w:lang w:val="en-US" w:eastAsia="zh-CN"/>
        </w:rPr>
        <w:t>的</w:t>
      </w:r>
      <w:r>
        <w:rPr>
          <w:rFonts w:hint="eastAsia" w:cs="宋体" w:asciiTheme="minorEastAsia" w:hAnsiTheme="minorEastAsia" w:eastAsiaTheme="minorEastAsia"/>
          <w:b/>
          <w:bCs/>
          <w:color w:val="auto"/>
          <w:sz w:val="24"/>
          <w:highlight w:val="none"/>
          <w:lang w:eastAsia="zh-CN"/>
        </w:rPr>
        <w:t>，将从乙方应收的水稻收割作业费中扣除100亩对应的费用。</w:t>
      </w:r>
    </w:p>
    <w:p w14:paraId="55A426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cs="宋体" w:asciiTheme="minorEastAsia" w:hAnsiTheme="minorEastAsia" w:eastAsiaTheme="minorEastAsia"/>
          <w:color w:val="auto"/>
          <w:sz w:val="24"/>
          <w:highlight w:val="none"/>
          <w:lang w:val="en-US" w:eastAsia="zh-CN"/>
        </w:rPr>
        <w:t>2.</w:t>
      </w:r>
      <w:r>
        <w:rPr>
          <w:rFonts w:hint="eastAsia" w:cs="Calibri" w:eastAsiaTheme="minorEastAsia"/>
          <w:b/>
          <w:bCs/>
          <w:color w:val="auto"/>
          <w:kern w:val="0"/>
          <w:sz w:val="24"/>
          <w:szCs w:val="24"/>
          <w:highlight w:val="none"/>
          <w:lang w:val="en-US" w:eastAsia="zh-CN"/>
        </w:rPr>
        <w:t>作业量要求：</w:t>
      </w:r>
      <w:r>
        <w:rPr>
          <w:rFonts w:hint="eastAsia" w:ascii="Calibri" w:hAnsi="Calibri" w:cs="Calibri" w:eastAsiaTheme="minorEastAsia"/>
          <w:b/>
          <w:bCs/>
          <w:color w:val="auto"/>
          <w:kern w:val="0"/>
          <w:sz w:val="24"/>
          <w:szCs w:val="24"/>
          <w:highlight w:val="none"/>
          <w:lang w:val="en-US" w:eastAsia="zh-CN"/>
        </w:rPr>
        <w:t>乙方</w:t>
      </w:r>
      <w:r>
        <w:rPr>
          <w:rFonts w:hint="default" w:ascii="Calibri" w:hAnsi="Calibri" w:cs="Calibri" w:eastAsiaTheme="minorEastAsia"/>
          <w:b/>
          <w:bCs/>
          <w:color w:val="auto"/>
          <w:kern w:val="0"/>
          <w:sz w:val="24"/>
          <w:szCs w:val="24"/>
          <w:highlight w:val="none"/>
          <w:lang w:val="zh-CN"/>
        </w:rPr>
        <w:t>需保障每日</w:t>
      </w:r>
      <w:r>
        <w:rPr>
          <w:rFonts w:hint="eastAsia" w:ascii="Calibri" w:hAnsi="Calibri" w:cs="Calibri" w:eastAsiaTheme="minorEastAsia"/>
          <w:b/>
          <w:bCs/>
          <w:color w:val="auto"/>
          <w:kern w:val="0"/>
          <w:sz w:val="24"/>
          <w:szCs w:val="24"/>
          <w:highlight w:val="none"/>
          <w:lang w:val="en-US" w:eastAsia="zh-CN"/>
        </w:rPr>
        <w:t>实际</w:t>
      </w:r>
      <w:r>
        <w:rPr>
          <w:rFonts w:hint="default" w:ascii="Calibri" w:hAnsi="Calibri" w:cs="Calibri" w:eastAsiaTheme="minorEastAsia"/>
          <w:b/>
          <w:bCs/>
          <w:color w:val="auto"/>
          <w:kern w:val="0"/>
          <w:sz w:val="24"/>
          <w:szCs w:val="24"/>
          <w:highlight w:val="none"/>
          <w:lang w:val="zh-CN"/>
        </w:rPr>
        <w:t>投入作业的收割机台次不低于</w:t>
      </w:r>
      <w:r>
        <w:rPr>
          <w:rFonts w:hint="eastAsia" w:cs="Calibri" w:eastAsiaTheme="minorEastAsia"/>
          <w:b/>
          <w:bCs/>
          <w:color w:val="auto"/>
          <w:kern w:val="0"/>
          <w:sz w:val="24"/>
          <w:szCs w:val="24"/>
          <w:highlight w:val="none"/>
          <w:lang w:val="en-US" w:eastAsia="zh-CN"/>
        </w:rPr>
        <w:t>25</w:t>
      </w:r>
      <w:r>
        <w:rPr>
          <w:rFonts w:hint="default" w:ascii="Calibri" w:hAnsi="Calibri" w:cs="Calibri" w:eastAsiaTheme="minorEastAsia"/>
          <w:b/>
          <w:bCs/>
          <w:color w:val="auto"/>
          <w:kern w:val="0"/>
          <w:sz w:val="24"/>
          <w:szCs w:val="24"/>
          <w:highlight w:val="none"/>
          <w:lang w:val="zh-CN"/>
        </w:rPr>
        <w:t>台</w:t>
      </w:r>
      <w:r>
        <w:rPr>
          <w:rFonts w:hint="eastAsia" w:cs="Calibri" w:eastAsiaTheme="minorEastAsia"/>
          <w:b/>
          <w:bCs/>
          <w:color w:val="auto"/>
          <w:kern w:val="0"/>
          <w:sz w:val="24"/>
          <w:szCs w:val="24"/>
          <w:highlight w:val="none"/>
          <w:lang w:val="en-US" w:eastAsia="zh-CN"/>
        </w:rPr>
        <w:t>次</w:t>
      </w:r>
      <w:r>
        <w:rPr>
          <w:rFonts w:hint="default" w:ascii="Calibri" w:hAnsi="Calibri" w:cs="Calibri" w:eastAsiaTheme="minorEastAsia"/>
          <w:b/>
          <w:bCs/>
          <w:color w:val="auto"/>
          <w:kern w:val="0"/>
          <w:sz w:val="24"/>
          <w:szCs w:val="24"/>
          <w:highlight w:val="none"/>
          <w:lang w:val="zh-CN"/>
        </w:rPr>
        <w:t>，项目周期内累计作业总量需达到300-400台次（注：台次计算方式为所有作业车辆出动次数的累加值），</w:t>
      </w:r>
      <w:r>
        <w:rPr>
          <w:rFonts w:hint="eastAsia" w:asciiTheme="minorEastAsia" w:hAnsiTheme="minorEastAsia" w:eastAsiaTheme="minorEastAsia" w:cstheme="minorEastAsia"/>
          <w:b/>
          <w:bCs/>
          <w:color w:val="auto"/>
          <w:kern w:val="0"/>
          <w:sz w:val="24"/>
          <w:szCs w:val="24"/>
          <w:highlight w:val="none"/>
          <w:lang w:val="zh-CN"/>
        </w:rPr>
        <w:t>所有收割机须严格服从生产单位的任务调配，确保每日作业量达标。</w:t>
      </w:r>
    </w:p>
    <w:p w14:paraId="4894E2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cs="宋体" w:asciiTheme="minorEastAsia" w:hAnsiTheme="minorEastAsia" w:eastAsiaTheme="minorEastAsia"/>
          <w:color w:val="auto"/>
          <w:sz w:val="24"/>
          <w:highlight w:val="none"/>
          <w:lang w:val="zh-CN" w:eastAsia="zh-CN"/>
        </w:rPr>
      </w:pPr>
      <w:r>
        <w:rPr>
          <w:rFonts w:hint="eastAsia" w:cs="宋体" w:asciiTheme="minorEastAsia" w:hAnsiTheme="minorEastAsia" w:eastAsiaTheme="minorEastAsia"/>
          <w:color w:val="auto"/>
          <w:sz w:val="24"/>
          <w:highlight w:val="none"/>
          <w:lang w:val="en-US" w:eastAsia="zh-CN"/>
        </w:rPr>
        <w:t>3.收割方式要求：为机械收割（含税费、转运费），不漏割，留茬小于10cm，秸秆粉碎还田，收割抛洒率在国家规定许可范围</w:t>
      </w:r>
      <w:r>
        <w:rPr>
          <w:rFonts w:hint="eastAsia" w:asciiTheme="minorEastAsia" w:hAnsiTheme="minorEastAsia" w:eastAsiaTheme="minorEastAsia" w:cstheme="minorEastAsia"/>
          <w:color w:val="auto"/>
          <w:kern w:val="0"/>
          <w:sz w:val="24"/>
          <w:szCs w:val="24"/>
          <w:highlight w:val="none"/>
          <w:lang w:val="zh-CN"/>
        </w:rPr>
        <w:t>，短途转运车辆需持证上岗。道路烂泥当天</w:t>
      </w:r>
      <w:r>
        <w:rPr>
          <w:rFonts w:hint="eastAsia" w:asciiTheme="minorEastAsia" w:hAnsiTheme="minorEastAsia" w:eastAsiaTheme="minorEastAsia" w:cstheme="minorEastAsia"/>
          <w:color w:val="auto"/>
          <w:kern w:val="0"/>
          <w:sz w:val="24"/>
          <w:szCs w:val="24"/>
          <w:highlight w:val="none"/>
          <w:lang w:val="en-US" w:eastAsia="zh-CN"/>
        </w:rPr>
        <w:t>需</w:t>
      </w:r>
      <w:r>
        <w:rPr>
          <w:rFonts w:hint="eastAsia" w:asciiTheme="minorEastAsia" w:hAnsiTheme="minorEastAsia" w:eastAsiaTheme="minorEastAsia" w:cstheme="minorEastAsia"/>
          <w:color w:val="auto"/>
          <w:kern w:val="0"/>
          <w:sz w:val="24"/>
          <w:szCs w:val="24"/>
          <w:highlight w:val="none"/>
          <w:lang w:val="zh-CN"/>
        </w:rPr>
        <w:t>及时清理清洁。</w:t>
      </w:r>
    </w:p>
    <w:p w14:paraId="315C639B">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s="宋体" w:asciiTheme="minorEastAsia" w:hAnsiTheme="minorEastAsia" w:eastAsiaTheme="minorEastAsia"/>
          <w:color w:val="auto"/>
          <w:kern w:val="2"/>
          <w:sz w:val="24"/>
          <w:szCs w:val="20"/>
          <w:highlight w:val="none"/>
          <w:lang w:val="en-US" w:eastAsia="zh-CN" w:bidi="ar-SA"/>
        </w:rPr>
      </w:pPr>
      <w:r>
        <w:rPr>
          <w:rFonts w:hint="eastAsia" w:cs="宋体" w:asciiTheme="minorEastAsia" w:hAnsiTheme="minorEastAsia" w:eastAsiaTheme="minorEastAsia"/>
          <w:color w:val="auto"/>
          <w:kern w:val="2"/>
          <w:sz w:val="24"/>
          <w:szCs w:val="20"/>
          <w:highlight w:val="none"/>
          <w:lang w:val="en-US" w:eastAsia="zh-CN" w:bidi="ar-SA"/>
        </w:rPr>
        <w:t>4.收割作业期间，若因作业导致道路出现淤泥、积泥，乙方须于当日内完成清理与保洁工作，严防因道路湿滑、泥泞引发人员摔伤、滑倒等安全事故。</w:t>
      </w:r>
    </w:p>
    <w:p w14:paraId="059CA467">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en-US" w:eastAsia="zh-CN"/>
        </w:rPr>
        <w:t>5.</w:t>
      </w:r>
      <w:r>
        <w:rPr>
          <w:rFonts w:hint="eastAsia" w:asciiTheme="minorEastAsia" w:hAnsiTheme="minorEastAsia" w:eastAsiaTheme="minorEastAsia" w:cstheme="minorEastAsia"/>
          <w:color w:val="auto"/>
          <w:kern w:val="0"/>
          <w:sz w:val="24"/>
          <w:szCs w:val="24"/>
          <w:highlight w:val="none"/>
          <w:lang w:val="zh-CN"/>
        </w:rPr>
        <w:t>禁止中大型收割机（含轮式机型）进入作业现场。</w:t>
      </w:r>
    </w:p>
    <w:p w14:paraId="73533B97">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lang w:val="zh-CN"/>
        </w:rPr>
        <w:t>视稻谷</w:t>
      </w:r>
      <w:r>
        <w:rPr>
          <w:rFonts w:hint="eastAsia" w:asciiTheme="minorEastAsia" w:hAnsiTheme="minorEastAsia" w:eastAsiaTheme="minorEastAsia" w:cstheme="minorEastAsia"/>
          <w:color w:val="auto"/>
          <w:kern w:val="0"/>
          <w:sz w:val="24"/>
          <w:szCs w:val="24"/>
          <w:highlight w:val="none"/>
          <w:lang w:val="en-US" w:eastAsia="zh-CN"/>
        </w:rPr>
        <w:t>烘干、</w:t>
      </w:r>
      <w:r>
        <w:rPr>
          <w:rFonts w:hint="eastAsia" w:asciiTheme="minorEastAsia" w:hAnsiTheme="minorEastAsia" w:eastAsiaTheme="minorEastAsia" w:cstheme="minorEastAsia"/>
          <w:color w:val="auto"/>
          <w:kern w:val="0"/>
          <w:sz w:val="24"/>
          <w:szCs w:val="24"/>
          <w:highlight w:val="none"/>
          <w:lang w:val="zh-CN"/>
        </w:rPr>
        <w:t>销售情况，</w:t>
      </w:r>
      <w:r>
        <w:rPr>
          <w:rFonts w:hint="eastAsia" w:asciiTheme="minorEastAsia" w:hAnsiTheme="minorEastAsia" w:eastAsiaTheme="minorEastAsia"/>
          <w:i w:val="0"/>
          <w:iCs w:val="0"/>
          <w:color w:val="auto"/>
          <w:sz w:val="24"/>
          <w:highlight w:val="none"/>
        </w:rPr>
        <w:t>在约定时间内</w:t>
      </w:r>
      <w:r>
        <w:rPr>
          <w:rFonts w:hint="eastAsia" w:asciiTheme="minorEastAsia" w:hAnsiTheme="minorEastAsia" w:eastAsiaTheme="minorEastAsia"/>
          <w:i w:val="0"/>
          <w:iCs w:val="0"/>
          <w:color w:val="auto"/>
          <w:sz w:val="24"/>
          <w:highlight w:val="none"/>
          <w:lang w:val="en-US" w:eastAsia="zh-CN"/>
        </w:rPr>
        <w:t>，依照生产单位安排，完成自营种</w:t>
      </w:r>
      <w:r>
        <w:rPr>
          <w:rFonts w:hint="eastAsia" w:asciiTheme="minorEastAsia" w:hAnsiTheme="minorEastAsia" w:eastAsiaTheme="minorEastAsia"/>
          <w:b w:val="0"/>
          <w:bCs w:val="0"/>
          <w:i w:val="0"/>
          <w:iCs w:val="0"/>
          <w:color w:val="auto"/>
          <w:sz w:val="24"/>
          <w:highlight w:val="none"/>
          <w:lang w:val="en-US" w:eastAsia="zh-CN"/>
        </w:rPr>
        <w:t>植水稻收</w:t>
      </w:r>
      <w:r>
        <w:rPr>
          <w:rFonts w:hint="eastAsia" w:asciiTheme="minorEastAsia" w:hAnsiTheme="minorEastAsia" w:eastAsiaTheme="minorEastAsia"/>
          <w:i w:val="0"/>
          <w:iCs w:val="0"/>
          <w:color w:val="auto"/>
          <w:sz w:val="24"/>
          <w:highlight w:val="none"/>
          <w:lang w:val="en-US" w:eastAsia="zh-CN"/>
        </w:rPr>
        <w:t>割，根据鲜稻销售情况，运送到农场范围内指定地点，或收割机直接转运至销售车辆内。</w:t>
      </w:r>
    </w:p>
    <w:p w14:paraId="0B6CEE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Theme="minorEastAsia" w:hAnsiTheme="minorEastAsia" w:eastAsiaTheme="minorEastAsia" w:cstheme="minorEastAsia"/>
          <w:b/>
          <w:bCs/>
          <w:color w:val="auto"/>
          <w:kern w:val="0"/>
          <w:sz w:val="24"/>
          <w:szCs w:val="24"/>
          <w:highlight w:val="none"/>
          <w:lang w:val="zh-CN"/>
        </w:rPr>
      </w:pPr>
      <w:r>
        <w:rPr>
          <w:rFonts w:hint="eastAsia" w:asciiTheme="minorEastAsia" w:hAnsiTheme="minorEastAsia" w:eastAsiaTheme="minorEastAsia" w:cstheme="minorEastAsia"/>
          <w:b/>
          <w:bCs/>
          <w:color w:val="auto"/>
          <w:kern w:val="0"/>
          <w:sz w:val="24"/>
          <w:szCs w:val="24"/>
          <w:highlight w:val="none"/>
          <w:lang w:val="zh-CN"/>
        </w:rPr>
        <w:t>四、甲方的权利和义务</w:t>
      </w:r>
    </w:p>
    <w:p w14:paraId="471134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zh-CN"/>
        </w:rPr>
        <w:t>1</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zh-CN"/>
        </w:rPr>
        <w:t>甲方有权根据销售进度，安排每日乙方</w:t>
      </w:r>
      <w:r>
        <w:rPr>
          <w:rFonts w:hint="eastAsia" w:asciiTheme="minorEastAsia" w:hAnsiTheme="minorEastAsia" w:eastAsiaTheme="minorEastAsia" w:cstheme="minorEastAsia"/>
          <w:color w:val="auto"/>
          <w:kern w:val="0"/>
          <w:sz w:val="24"/>
          <w:szCs w:val="24"/>
          <w:highlight w:val="none"/>
          <w:lang w:val="en-US" w:eastAsia="zh-CN"/>
        </w:rPr>
        <w:t>的</w:t>
      </w:r>
      <w:r>
        <w:rPr>
          <w:rFonts w:hint="eastAsia" w:asciiTheme="minorEastAsia" w:hAnsiTheme="minorEastAsia" w:eastAsiaTheme="minorEastAsia" w:cstheme="minorEastAsia"/>
          <w:color w:val="auto"/>
          <w:kern w:val="0"/>
          <w:sz w:val="24"/>
          <w:szCs w:val="24"/>
          <w:highlight w:val="none"/>
          <w:lang w:val="zh-CN"/>
        </w:rPr>
        <w:t>机械收割作业量、进度、</w:t>
      </w:r>
      <w:r>
        <w:rPr>
          <w:rFonts w:hint="eastAsia" w:asciiTheme="minorEastAsia" w:hAnsiTheme="minorEastAsia" w:eastAsiaTheme="minorEastAsia" w:cstheme="minorEastAsia"/>
          <w:color w:val="auto"/>
          <w:kern w:val="0"/>
          <w:sz w:val="24"/>
          <w:szCs w:val="24"/>
          <w:highlight w:val="none"/>
          <w:lang w:val="en-US" w:eastAsia="zh-CN"/>
        </w:rPr>
        <w:t>作业车辆安排等</w:t>
      </w:r>
      <w:r>
        <w:rPr>
          <w:rFonts w:hint="eastAsia" w:asciiTheme="minorEastAsia" w:hAnsiTheme="minorEastAsia" w:eastAsiaTheme="minorEastAsia" w:cstheme="minorEastAsia"/>
          <w:color w:val="auto"/>
          <w:kern w:val="0"/>
          <w:sz w:val="24"/>
          <w:szCs w:val="24"/>
          <w:highlight w:val="none"/>
          <w:lang w:val="zh-CN"/>
        </w:rPr>
        <w:t>，乙方必须服从；</w:t>
      </w:r>
    </w:p>
    <w:p w14:paraId="2DBC49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eastAsia="zh-CN"/>
        </w:rPr>
      </w:pPr>
      <w:r>
        <w:rPr>
          <w:rFonts w:hint="eastAsia" w:asciiTheme="minorEastAsia" w:hAnsiTheme="minorEastAsia" w:eastAsiaTheme="minorEastAsia" w:cstheme="minorEastAsia"/>
          <w:color w:val="auto"/>
          <w:kern w:val="0"/>
          <w:sz w:val="24"/>
          <w:szCs w:val="24"/>
          <w:highlight w:val="none"/>
          <w:lang w:val="zh-CN"/>
        </w:rPr>
        <w:t>2</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zh-CN"/>
        </w:rPr>
        <w:t>甲方指定下属</w:t>
      </w:r>
      <w:r>
        <w:rPr>
          <w:rFonts w:hint="eastAsia" w:asciiTheme="minorEastAsia" w:hAnsiTheme="minorEastAsia" w:eastAsiaTheme="minorEastAsia" w:cstheme="minorEastAsia"/>
          <w:color w:val="auto"/>
          <w:kern w:val="0"/>
          <w:sz w:val="24"/>
          <w:szCs w:val="24"/>
          <w:highlight w:val="none"/>
          <w:lang w:val="en-US" w:eastAsia="zh-CN"/>
        </w:rPr>
        <w:t>单位</w:t>
      </w:r>
      <w:r>
        <w:rPr>
          <w:rFonts w:hint="eastAsia" w:asciiTheme="minorEastAsia" w:hAnsiTheme="minorEastAsia" w:eastAsiaTheme="minorEastAsia" w:cstheme="minorEastAsia"/>
          <w:color w:val="auto"/>
          <w:kern w:val="0"/>
          <w:sz w:val="24"/>
          <w:szCs w:val="24"/>
          <w:highlight w:val="none"/>
          <w:lang w:val="zh-CN"/>
        </w:rPr>
        <w:t>具体负责行使甲方权利</w:t>
      </w:r>
      <w:r>
        <w:rPr>
          <w:rFonts w:hint="eastAsia" w:asciiTheme="minorEastAsia" w:hAnsiTheme="minorEastAsia" w:eastAsiaTheme="minorEastAsia" w:cstheme="minorEastAsia"/>
          <w:color w:val="auto"/>
          <w:kern w:val="0"/>
          <w:sz w:val="24"/>
          <w:szCs w:val="24"/>
          <w:highlight w:val="none"/>
          <w:lang w:val="zh-CN" w:eastAsia="zh-CN"/>
        </w:rPr>
        <w:t>；</w:t>
      </w:r>
    </w:p>
    <w:p w14:paraId="767884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Theme="minorEastAsia" w:hAnsiTheme="minorEastAsia" w:eastAsiaTheme="minorEastAsia" w:cstheme="minorEastAsia"/>
          <w:b/>
          <w:bCs/>
          <w:color w:val="auto"/>
          <w:kern w:val="0"/>
          <w:sz w:val="24"/>
          <w:szCs w:val="24"/>
          <w:highlight w:val="none"/>
          <w:lang w:val="zh-CN"/>
        </w:rPr>
      </w:pPr>
      <w:r>
        <w:rPr>
          <w:rFonts w:hint="eastAsia" w:asciiTheme="minorEastAsia" w:hAnsiTheme="minorEastAsia" w:eastAsiaTheme="minorEastAsia" w:cstheme="minorEastAsia"/>
          <w:b/>
          <w:bCs/>
          <w:color w:val="auto"/>
          <w:kern w:val="0"/>
          <w:sz w:val="24"/>
          <w:szCs w:val="24"/>
          <w:highlight w:val="none"/>
          <w:lang w:val="zh-CN"/>
        </w:rPr>
        <w:t>3</w:t>
      </w:r>
      <w:r>
        <w:rPr>
          <w:rFonts w:hint="eastAsia" w:asciiTheme="minorEastAsia" w:hAnsiTheme="minorEastAsia" w:eastAsiaTheme="minorEastAsia" w:cstheme="minorEastAsia"/>
          <w:b/>
          <w:bCs/>
          <w:color w:val="auto"/>
          <w:kern w:val="0"/>
          <w:sz w:val="24"/>
          <w:szCs w:val="24"/>
          <w:highlight w:val="none"/>
          <w:lang w:val="en-US" w:eastAsia="zh-CN"/>
        </w:rPr>
        <w:t>.</w:t>
      </w:r>
      <w:r>
        <w:rPr>
          <w:rFonts w:hint="eastAsia" w:asciiTheme="minorEastAsia" w:hAnsiTheme="minorEastAsia" w:eastAsiaTheme="minorEastAsia" w:cstheme="minorEastAsia"/>
          <w:b/>
          <w:bCs/>
          <w:color w:val="auto"/>
          <w:kern w:val="0"/>
          <w:sz w:val="24"/>
          <w:szCs w:val="24"/>
          <w:highlight w:val="none"/>
          <w:lang w:val="zh-CN"/>
        </w:rPr>
        <w:t>甲方</w:t>
      </w:r>
      <w:r>
        <w:rPr>
          <w:rFonts w:hint="eastAsia" w:asciiTheme="minorEastAsia" w:hAnsiTheme="minorEastAsia" w:eastAsiaTheme="minorEastAsia" w:cstheme="minorEastAsia"/>
          <w:b/>
          <w:bCs/>
          <w:color w:val="auto"/>
          <w:kern w:val="0"/>
          <w:sz w:val="24"/>
          <w:szCs w:val="24"/>
          <w:highlight w:val="none"/>
          <w:lang w:val="en-US" w:eastAsia="zh-CN"/>
        </w:rPr>
        <w:t>生产单位需至少提前1个自然日，以书面、电话、微信或双方确认的有效方式，将次日所需作业机器数量通知乙方。</w:t>
      </w:r>
    </w:p>
    <w:p w14:paraId="1C0090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en-US" w:eastAsia="zh-CN"/>
        </w:rPr>
        <w:t>4.</w:t>
      </w:r>
      <w:r>
        <w:rPr>
          <w:rFonts w:hint="eastAsia" w:asciiTheme="minorEastAsia" w:hAnsiTheme="minorEastAsia" w:eastAsiaTheme="minorEastAsia" w:cstheme="minorEastAsia"/>
          <w:color w:val="auto"/>
          <w:kern w:val="0"/>
          <w:sz w:val="24"/>
          <w:szCs w:val="24"/>
          <w:highlight w:val="none"/>
          <w:lang w:val="zh-CN"/>
        </w:rPr>
        <w:t>收割结束，双方对作业质量、作业面积无异议，</w:t>
      </w:r>
      <w:r>
        <w:rPr>
          <w:rFonts w:hint="eastAsia" w:asciiTheme="minorEastAsia" w:hAnsiTheme="minorEastAsia" w:eastAsiaTheme="minorEastAsia" w:cstheme="minorEastAsia"/>
          <w:color w:val="auto"/>
          <w:kern w:val="0"/>
          <w:sz w:val="24"/>
          <w:szCs w:val="24"/>
          <w:highlight w:val="none"/>
          <w:lang w:val="en-US" w:eastAsia="zh-CN"/>
        </w:rPr>
        <w:t>生产单位</w:t>
      </w:r>
      <w:r>
        <w:rPr>
          <w:rFonts w:hint="eastAsia" w:asciiTheme="minorEastAsia" w:hAnsiTheme="minorEastAsia" w:eastAsiaTheme="minorEastAsia" w:cstheme="minorEastAsia"/>
          <w:color w:val="auto"/>
          <w:kern w:val="0"/>
          <w:sz w:val="24"/>
          <w:szCs w:val="24"/>
          <w:highlight w:val="none"/>
          <w:lang w:val="zh-CN"/>
        </w:rPr>
        <w:t>条田管理工签字确认后，乙方开具有效发票，甲方30个工作日内办理费用结算。</w:t>
      </w:r>
    </w:p>
    <w:p w14:paraId="33A91D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Theme="minorEastAsia" w:hAnsiTheme="minorEastAsia" w:eastAsiaTheme="minorEastAsia" w:cstheme="minorEastAsia"/>
          <w:b/>
          <w:bCs/>
          <w:color w:val="auto"/>
          <w:kern w:val="0"/>
          <w:sz w:val="24"/>
          <w:szCs w:val="24"/>
          <w:highlight w:val="none"/>
          <w:lang w:val="zh-CN"/>
        </w:rPr>
      </w:pPr>
      <w:r>
        <w:rPr>
          <w:rFonts w:hint="eastAsia" w:asciiTheme="minorEastAsia" w:hAnsiTheme="minorEastAsia" w:eastAsiaTheme="minorEastAsia" w:cstheme="minorEastAsia"/>
          <w:b/>
          <w:bCs/>
          <w:color w:val="auto"/>
          <w:kern w:val="0"/>
          <w:sz w:val="24"/>
          <w:szCs w:val="24"/>
          <w:highlight w:val="none"/>
          <w:lang w:val="zh-CN"/>
        </w:rPr>
        <w:t>五、乙方的权利和义务</w:t>
      </w:r>
    </w:p>
    <w:p w14:paraId="601DEB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zh-CN"/>
        </w:rPr>
        <w:t>1</w:t>
      </w:r>
      <w:r>
        <w:rPr>
          <w:rFonts w:hint="eastAsia" w:asciiTheme="minorEastAsia" w:hAnsiTheme="minorEastAsia" w:eastAsiaTheme="minorEastAsia" w:cstheme="minorEastAsia"/>
          <w:color w:val="auto"/>
          <w:kern w:val="0"/>
          <w:sz w:val="24"/>
          <w:szCs w:val="24"/>
          <w:highlight w:val="none"/>
          <w:lang w:val="en-US" w:eastAsia="zh-CN"/>
        </w:rPr>
        <w:t>.乙方必须按照甲方的作业要求进行收割作业</w:t>
      </w:r>
      <w:r>
        <w:rPr>
          <w:rFonts w:hint="eastAsia" w:asciiTheme="minorEastAsia" w:hAnsiTheme="minorEastAsia" w:eastAsiaTheme="minorEastAsia" w:cstheme="minorEastAsia"/>
          <w:b/>
          <w:bCs/>
          <w:color w:val="auto"/>
          <w:kern w:val="0"/>
          <w:sz w:val="24"/>
          <w:szCs w:val="24"/>
          <w:highlight w:val="none"/>
          <w:lang w:val="en-US" w:eastAsia="zh-CN"/>
        </w:rPr>
        <w:t>（作业要求详见第三项内容）</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zh-CN"/>
        </w:rPr>
        <w:t>收割期间服从甲方及</w:t>
      </w:r>
      <w:r>
        <w:rPr>
          <w:rFonts w:hint="eastAsia" w:asciiTheme="minorEastAsia" w:hAnsiTheme="minorEastAsia" w:eastAsiaTheme="minorEastAsia" w:cstheme="minorEastAsia"/>
          <w:color w:val="auto"/>
          <w:kern w:val="0"/>
          <w:sz w:val="24"/>
          <w:szCs w:val="24"/>
          <w:highlight w:val="none"/>
          <w:lang w:val="en-US" w:eastAsia="zh-CN"/>
        </w:rPr>
        <w:t>生产单位</w:t>
      </w:r>
      <w:r>
        <w:rPr>
          <w:rFonts w:hint="eastAsia" w:asciiTheme="minorEastAsia" w:hAnsiTheme="minorEastAsia" w:eastAsiaTheme="minorEastAsia" w:cstheme="minorEastAsia"/>
          <w:color w:val="auto"/>
          <w:kern w:val="0"/>
          <w:sz w:val="24"/>
          <w:szCs w:val="24"/>
          <w:highlight w:val="none"/>
          <w:lang w:val="zh-CN"/>
        </w:rPr>
        <w:t>调配收割机械，</w:t>
      </w:r>
      <w:r>
        <w:rPr>
          <w:rFonts w:hint="default" w:ascii="Calibri" w:hAnsi="Calibri" w:cs="Calibri" w:eastAsiaTheme="minorEastAsia"/>
          <w:b/>
          <w:bCs/>
          <w:color w:val="auto"/>
          <w:kern w:val="0"/>
          <w:sz w:val="24"/>
          <w:szCs w:val="24"/>
          <w:highlight w:val="none"/>
          <w:lang w:val="zh-CN"/>
        </w:rPr>
        <w:t>保障每日</w:t>
      </w:r>
      <w:r>
        <w:rPr>
          <w:rFonts w:hint="eastAsia" w:ascii="Calibri" w:hAnsi="Calibri" w:cs="Calibri" w:eastAsiaTheme="minorEastAsia"/>
          <w:b/>
          <w:bCs/>
          <w:color w:val="auto"/>
          <w:kern w:val="0"/>
          <w:sz w:val="24"/>
          <w:szCs w:val="24"/>
          <w:highlight w:val="none"/>
          <w:lang w:val="en-US" w:eastAsia="zh-CN"/>
        </w:rPr>
        <w:t>实际</w:t>
      </w:r>
      <w:r>
        <w:rPr>
          <w:rFonts w:hint="default" w:ascii="Calibri" w:hAnsi="Calibri" w:cs="Calibri" w:eastAsiaTheme="minorEastAsia"/>
          <w:b/>
          <w:bCs/>
          <w:color w:val="auto"/>
          <w:kern w:val="0"/>
          <w:sz w:val="24"/>
          <w:szCs w:val="24"/>
          <w:highlight w:val="none"/>
          <w:lang w:val="zh-CN"/>
        </w:rPr>
        <w:t>投入作业的收割机台次不低于</w:t>
      </w:r>
      <w:r>
        <w:rPr>
          <w:rFonts w:hint="eastAsia" w:cs="Calibri" w:eastAsiaTheme="minorEastAsia"/>
          <w:b/>
          <w:bCs/>
          <w:color w:val="auto"/>
          <w:kern w:val="0"/>
          <w:sz w:val="24"/>
          <w:szCs w:val="24"/>
          <w:highlight w:val="none"/>
          <w:lang w:val="en-US" w:eastAsia="zh-CN"/>
        </w:rPr>
        <w:t>25</w:t>
      </w:r>
      <w:r>
        <w:rPr>
          <w:rFonts w:hint="default" w:ascii="Calibri" w:hAnsi="Calibri" w:cs="Calibri" w:eastAsiaTheme="minorEastAsia"/>
          <w:b/>
          <w:bCs/>
          <w:color w:val="auto"/>
          <w:kern w:val="0"/>
          <w:sz w:val="24"/>
          <w:szCs w:val="24"/>
          <w:highlight w:val="none"/>
          <w:lang w:val="zh-CN"/>
        </w:rPr>
        <w:t>台</w:t>
      </w:r>
      <w:r>
        <w:rPr>
          <w:rFonts w:hint="eastAsia" w:cs="Calibri" w:eastAsiaTheme="minorEastAsia"/>
          <w:b/>
          <w:bCs/>
          <w:color w:val="auto"/>
          <w:kern w:val="0"/>
          <w:sz w:val="24"/>
          <w:szCs w:val="24"/>
          <w:highlight w:val="none"/>
          <w:lang w:val="en-US" w:eastAsia="zh-CN"/>
        </w:rPr>
        <w:t>次</w:t>
      </w:r>
      <w:r>
        <w:rPr>
          <w:rFonts w:hint="default" w:ascii="Calibri" w:hAnsi="Calibri" w:cs="Calibri" w:eastAsiaTheme="minorEastAsia"/>
          <w:b/>
          <w:bCs/>
          <w:color w:val="auto"/>
          <w:kern w:val="0"/>
          <w:sz w:val="24"/>
          <w:szCs w:val="24"/>
          <w:highlight w:val="none"/>
          <w:lang w:val="zh-CN"/>
        </w:rPr>
        <w:t>，项目周期内累计作业总量需达到300-400台次</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zh-CN"/>
        </w:rPr>
        <w:t>在收割作业约定期限内完成收割作业。</w:t>
      </w:r>
    </w:p>
    <w:p w14:paraId="5CE51D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zh-CN"/>
        </w:rPr>
        <w:t>2</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zh-CN"/>
        </w:rPr>
        <w:t>乙方要按照甲方的要求将收割的水稻卸到指定的地点，如有漏割必须返工收割干净。</w:t>
      </w:r>
    </w:p>
    <w:p w14:paraId="4400CD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
          <w:bCs/>
          <w:color w:val="auto"/>
          <w:kern w:val="0"/>
          <w:sz w:val="24"/>
          <w:szCs w:val="24"/>
          <w:highlight w:val="yellow"/>
          <w:lang w:val="en-US" w:eastAsia="zh-CN"/>
        </w:rPr>
      </w:pPr>
      <w:r>
        <w:rPr>
          <w:rFonts w:hint="eastAsia" w:asciiTheme="minorEastAsia" w:hAnsiTheme="minorEastAsia" w:eastAsiaTheme="minorEastAsia" w:cstheme="minorEastAsia"/>
          <w:color w:val="auto"/>
          <w:kern w:val="0"/>
          <w:sz w:val="24"/>
          <w:szCs w:val="24"/>
          <w:highlight w:val="none"/>
          <w:lang w:val="zh-CN"/>
        </w:rPr>
        <w:t>3</w:t>
      </w:r>
      <w:r>
        <w:rPr>
          <w:rFonts w:hint="eastAsia" w:asciiTheme="minorEastAsia" w:hAnsiTheme="minorEastAsia" w:eastAsiaTheme="minorEastAsia" w:cstheme="minorEastAsia"/>
          <w:color w:val="auto"/>
          <w:kern w:val="0"/>
          <w:sz w:val="24"/>
          <w:szCs w:val="24"/>
          <w:highlight w:val="none"/>
          <w:lang w:val="en-US" w:eastAsia="zh-CN"/>
        </w:rPr>
        <w:t>.作业期间，</w:t>
      </w:r>
      <w:r>
        <w:rPr>
          <w:rFonts w:hint="eastAsia" w:asciiTheme="minorEastAsia" w:hAnsiTheme="minorEastAsia" w:eastAsiaTheme="minorEastAsia" w:cstheme="minorEastAsia"/>
          <w:color w:val="auto"/>
          <w:kern w:val="0"/>
          <w:sz w:val="24"/>
          <w:szCs w:val="24"/>
          <w:highlight w:val="none"/>
          <w:lang w:val="zh-CN"/>
        </w:rPr>
        <w:t>乙方</w:t>
      </w:r>
      <w:r>
        <w:rPr>
          <w:rFonts w:hint="eastAsia" w:asciiTheme="minorEastAsia" w:hAnsiTheme="minorEastAsia" w:eastAsiaTheme="minorEastAsia" w:cstheme="minorEastAsia"/>
          <w:color w:val="auto"/>
          <w:kern w:val="0"/>
          <w:sz w:val="24"/>
          <w:szCs w:val="24"/>
          <w:highlight w:val="none"/>
          <w:lang w:val="en-US" w:eastAsia="zh-CN"/>
        </w:rPr>
        <w:t>须配备</w:t>
      </w:r>
      <w:r>
        <w:rPr>
          <w:rFonts w:hint="eastAsia" w:asciiTheme="minorEastAsia" w:hAnsiTheme="minorEastAsia" w:eastAsiaTheme="minorEastAsia" w:cstheme="minorEastAsia"/>
          <w:color w:val="auto"/>
          <w:kern w:val="0"/>
          <w:sz w:val="24"/>
          <w:szCs w:val="24"/>
          <w:highlight w:val="none"/>
          <w:lang w:val="zh-CN"/>
        </w:rPr>
        <w:t>足够收割车辆进行抢收，</w:t>
      </w:r>
      <w:r>
        <w:rPr>
          <w:rFonts w:hint="eastAsia" w:asciiTheme="minorEastAsia" w:hAnsiTheme="minorEastAsia" w:eastAsiaTheme="minorEastAsia" w:cstheme="minorEastAsia"/>
          <w:color w:val="auto"/>
          <w:kern w:val="0"/>
          <w:sz w:val="24"/>
          <w:szCs w:val="24"/>
          <w:highlight w:val="none"/>
          <w:lang w:val="en-US" w:eastAsia="zh-CN"/>
        </w:rPr>
        <w:t>并</w:t>
      </w:r>
      <w:r>
        <w:rPr>
          <w:rFonts w:hint="eastAsia" w:asciiTheme="minorEastAsia" w:hAnsiTheme="minorEastAsia" w:eastAsiaTheme="minorEastAsia" w:cstheme="minorEastAsia"/>
          <w:color w:val="auto"/>
          <w:kern w:val="0"/>
          <w:sz w:val="24"/>
          <w:szCs w:val="24"/>
          <w:highlight w:val="none"/>
          <w:lang w:val="zh-CN"/>
        </w:rPr>
        <w:t>在甲方电话通知指定时间内到达指定的作业地点</w:t>
      </w:r>
      <w:r>
        <w:rPr>
          <w:rFonts w:hint="eastAsia" w:asciiTheme="minorEastAsia" w:hAnsiTheme="minorEastAsia" w:eastAsiaTheme="minorEastAsia" w:cstheme="minorEastAsia"/>
          <w:color w:val="auto"/>
          <w:kern w:val="0"/>
          <w:sz w:val="24"/>
          <w:szCs w:val="24"/>
          <w:highlight w:val="none"/>
          <w:lang w:val="en-US" w:eastAsia="zh-CN"/>
        </w:rPr>
        <w:t>作业。</w:t>
      </w:r>
    </w:p>
    <w:p w14:paraId="5BDFF6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zh-CN"/>
        </w:rPr>
        <w:t>4</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zh-CN"/>
        </w:rPr>
        <w:t>乙方必须按照甲方要求的质量和日程完成全部收割工作。留茬小于10cm，留茬大于10cm的须返工重新收割；秸杆须粉碎还田,收割期间稻谷抛撒率在国家规定许可范围内。如乙方不按甲方质量要求进行作业，甲方有权中止乙方作业并自行组织机械进场作业。</w:t>
      </w:r>
    </w:p>
    <w:p w14:paraId="6CC2B1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zh-CN"/>
        </w:rPr>
        <w:t>5</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zh-CN"/>
        </w:rPr>
        <w:t>机械、车辆须按安全操作规程操作，并</w:t>
      </w:r>
      <w:r>
        <w:rPr>
          <w:rFonts w:hint="eastAsia" w:asciiTheme="minorEastAsia" w:hAnsiTheme="minorEastAsia" w:eastAsiaTheme="minorEastAsia" w:cstheme="minorEastAsia"/>
          <w:color w:val="auto"/>
          <w:kern w:val="0"/>
          <w:sz w:val="24"/>
          <w:szCs w:val="24"/>
          <w:highlight w:val="none"/>
          <w:lang w:val="en-US" w:eastAsia="zh-CN"/>
        </w:rPr>
        <w:t>另行</w:t>
      </w:r>
      <w:r>
        <w:rPr>
          <w:rFonts w:hint="eastAsia" w:asciiTheme="minorEastAsia" w:hAnsiTheme="minorEastAsia" w:eastAsiaTheme="minorEastAsia" w:cstheme="minorEastAsia"/>
          <w:color w:val="auto"/>
          <w:kern w:val="0"/>
          <w:sz w:val="24"/>
          <w:szCs w:val="24"/>
          <w:highlight w:val="none"/>
          <w:lang w:val="zh-CN"/>
        </w:rPr>
        <w:t>签订安全协议。</w:t>
      </w:r>
    </w:p>
    <w:p w14:paraId="50E83B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Theme="minorEastAsia" w:hAnsiTheme="minorEastAsia" w:eastAsiaTheme="minorEastAsia" w:cstheme="minorEastAsia"/>
          <w:b/>
          <w:bCs/>
          <w:color w:val="auto"/>
          <w:kern w:val="0"/>
          <w:sz w:val="24"/>
          <w:szCs w:val="24"/>
          <w:highlight w:val="none"/>
          <w:lang w:val="zh-CN"/>
        </w:rPr>
      </w:pPr>
      <w:r>
        <w:rPr>
          <w:rFonts w:hint="eastAsia" w:asciiTheme="minorEastAsia" w:hAnsiTheme="minorEastAsia" w:eastAsiaTheme="minorEastAsia" w:cstheme="minorEastAsia"/>
          <w:b/>
          <w:bCs/>
          <w:color w:val="auto"/>
          <w:kern w:val="0"/>
          <w:sz w:val="24"/>
          <w:szCs w:val="24"/>
          <w:highlight w:val="none"/>
          <w:lang w:val="zh-CN"/>
        </w:rPr>
        <w:t>六、其它约定事项</w:t>
      </w:r>
    </w:p>
    <w:p w14:paraId="696968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zh-CN"/>
        </w:rPr>
        <w:t>1</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zh-CN"/>
        </w:rPr>
        <w:t>在2026年度水稻收割期间，乙方委托</w:t>
      </w:r>
      <w:r>
        <w:rPr>
          <w:rFonts w:hint="eastAsia" w:asciiTheme="minorEastAsia" w:hAnsiTheme="minorEastAsia" w:eastAsiaTheme="minorEastAsia" w:cstheme="minorEastAsia"/>
          <w:color w:val="auto"/>
          <w:kern w:val="0"/>
          <w:sz w:val="24"/>
          <w:szCs w:val="24"/>
          <w:highlight w:val="none"/>
          <w:u w:val="single"/>
          <w:lang w:val="zh-CN"/>
        </w:rPr>
        <w:t xml:space="preserve">       </w:t>
      </w:r>
      <w:r>
        <w:rPr>
          <w:rFonts w:hint="eastAsia" w:asciiTheme="minorEastAsia" w:hAnsiTheme="minorEastAsia" w:eastAsiaTheme="minorEastAsia" w:cstheme="minorEastAsia"/>
          <w:color w:val="auto"/>
          <w:kern w:val="0"/>
          <w:sz w:val="24"/>
          <w:szCs w:val="24"/>
          <w:highlight w:val="none"/>
          <w:lang w:val="zh-CN"/>
        </w:rPr>
        <w:t>同志负责在</w:t>
      </w:r>
      <w:r>
        <w:rPr>
          <w:rFonts w:hint="eastAsia" w:asciiTheme="minorEastAsia" w:hAnsiTheme="minorEastAsia" w:eastAsiaTheme="minorEastAsia" w:cstheme="minorEastAsia"/>
          <w:color w:val="auto"/>
          <w:kern w:val="0"/>
          <w:sz w:val="24"/>
          <w:szCs w:val="24"/>
          <w:highlight w:val="none"/>
          <w:lang w:val="en-US" w:eastAsia="zh-CN"/>
        </w:rPr>
        <w:t>生产单位</w:t>
      </w:r>
      <w:r>
        <w:rPr>
          <w:rFonts w:hint="eastAsia" w:asciiTheme="minorEastAsia" w:hAnsiTheme="minorEastAsia" w:eastAsiaTheme="minorEastAsia" w:cstheme="minorEastAsia"/>
          <w:color w:val="auto"/>
          <w:kern w:val="0"/>
          <w:sz w:val="24"/>
          <w:szCs w:val="24"/>
          <w:highlight w:val="none"/>
          <w:lang w:val="zh-CN"/>
        </w:rPr>
        <w:t>的机械调配、作业确认等相关事宜，委托期至收割结束。</w:t>
      </w:r>
    </w:p>
    <w:p w14:paraId="0C86C4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zh-CN"/>
        </w:rPr>
        <w:t>2</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zh-CN"/>
        </w:rPr>
        <w:t>收割面积经条田管理工签字确认，是结算费用的依据之一，如条田工有异议，以GPS实地测量收割亩数确定；</w:t>
      </w:r>
    </w:p>
    <w:p w14:paraId="5DE997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zh-CN"/>
        </w:rPr>
        <w:t>3</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zh-CN"/>
        </w:rPr>
        <w:t>作业人员必须持证驾驶进场作业，不得穿越高速连接线，不得违规、酒后、疲劳操作驾驶农业机械，不使用农业机械载人行驶；</w:t>
      </w:r>
    </w:p>
    <w:p w14:paraId="71E05A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zh-CN"/>
        </w:rPr>
        <w:t>4</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zh-CN"/>
        </w:rPr>
        <w:t>如遇天气等不可抗力因素造成收割延期，乙方须</w:t>
      </w:r>
      <w:r>
        <w:rPr>
          <w:rFonts w:hint="eastAsia" w:asciiTheme="minorEastAsia" w:hAnsiTheme="minorEastAsia" w:eastAsiaTheme="minorEastAsia" w:cstheme="minorEastAsia"/>
          <w:color w:val="auto"/>
          <w:kern w:val="0"/>
          <w:sz w:val="24"/>
          <w:szCs w:val="24"/>
          <w:highlight w:val="none"/>
          <w:lang w:val="en-US" w:eastAsia="zh-CN"/>
        </w:rPr>
        <w:t>根据甲方临时通知的延期收割日期，</w:t>
      </w:r>
      <w:r>
        <w:rPr>
          <w:rFonts w:hint="eastAsia" w:asciiTheme="minorEastAsia" w:hAnsiTheme="minorEastAsia" w:eastAsiaTheme="minorEastAsia" w:cstheme="minorEastAsia"/>
          <w:color w:val="auto"/>
          <w:kern w:val="0"/>
          <w:sz w:val="24"/>
          <w:szCs w:val="24"/>
          <w:highlight w:val="none"/>
          <w:lang w:val="zh-CN"/>
        </w:rPr>
        <w:t>充分保证机械</w:t>
      </w:r>
      <w:r>
        <w:rPr>
          <w:rFonts w:hint="eastAsia" w:asciiTheme="minorEastAsia" w:hAnsiTheme="minorEastAsia" w:eastAsiaTheme="minorEastAsia" w:cstheme="minorEastAsia"/>
          <w:color w:val="auto"/>
          <w:kern w:val="0"/>
          <w:sz w:val="24"/>
          <w:szCs w:val="24"/>
          <w:highlight w:val="none"/>
          <w:lang w:val="en-US" w:eastAsia="zh-CN"/>
        </w:rPr>
        <w:t>作业台次，</w:t>
      </w:r>
      <w:r>
        <w:rPr>
          <w:rFonts w:hint="eastAsia" w:asciiTheme="minorEastAsia" w:hAnsiTheme="minorEastAsia" w:eastAsiaTheme="minorEastAsia" w:cstheme="minorEastAsia"/>
          <w:color w:val="auto"/>
          <w:kern w:val="0"/>
          <w:sz w:val="24"/>
          <w:szCs w:val="24"/>
          <w:highlight w:val="none"/>
          <w:lang w:val="zh-CN"/>
        </w:rPr>
        <w:t>按时</w:t>
      </w:r>
      <w:r>
        <w:rPr>
          <w:rFonts w:hint="eastAsia" w:asciiTheme="minorEastAsia" w:hAnsiTheme="minorEastAsia" w:eastAsiaTheme="minorEastAsia" w:cstheme="minorEastAsia"/>
          <w:color w:val="auto"/>
          <w:kern w:val="0"/>
          <w:sz w:val="24"/>
          <w:szCs w:val="24"/>
          <w:highlight w:val="none"/>
          <w:lang w:val="en-US" w:eastAsia="zh-CN"/>
        </w:rPr>
        <w:t>进场</w:t>
      </w:r>
      <w:r>
        <w:rPr>
          <w:rFonts w:hint="eastAsia" w:asciiTheme="minorEastAsia" w:hAnsiTheme="minorEastAsia" w:eastAsiaTheme="minorEastAsia" w:cstheme="minorEastAsia"/>
          <w:color w:val="auto"/>
          <w:kern w:val="0"/>
          <w:sz w:val="24"/>
          <w:szCs w:val="24"/>
          <w:highlight w:val="none"/>
          <w:lang w:val="zh-CN"/>
        </w:rPr>
        <w:t>作业，确保</w:t>
      </w:r>
      <w:r>
        <w:rPr>
          <w:rFonts w:hint="eastAsia" w:asciiTheme="minorEastAsia" w:hAnsiTheme="minorEastAsia" w:eastAsiaTheme="minorEastAsia" w:cstheme="minorEastAsia"/>
          <w:color w:val="auto"/>
          <w:kern w:val="0"/>
          <w:sz w:val="24"/>
          <w:szCs w:val="24"/>
          <w:highlight w:val="none"/>
          <w:lang w:val="en-US" w:eastAsia="zh-CN"/>
        </w:rPr>
        <w:t>达到</w:t>
      </w:r>
      <w:r>
        <w:rPr>
          <w:rFonts w:hint="eastAsia" w:asciiTheme="minorEastAsia" w:hAnsiTheme="minorEastAsia" w:eastAsiaTheme="minorEastAsia" w:cstheme="minorEastAsia"/>
          <w:color w:val="auto"/>
          <w:kern w:val="0"/>
          <w:sz w:val="24"/>
          <w:szCs w:val="24"/>
          <w:highlight w:val="none"/>
          <w:lang w:val="zh-CN"/>
        </w:rPr>
        <w:t>甲方的收割作业进度</w:t>
      </w:r>
      <w:r>
        <w:rPr>
          <w:rFonts w:hint="eastAsia" w:asciiTheme="minorEastAsia" w:hAnsiTheme="minorEastAsia" w:eastAsiaTheme="minorEastAsia" w:cstheme="minorEastAsia"/>
          <w:color w:val="auto"/>
          <w:kern w:val="0"/>
          <w:sz w:val="24"/>
          <w:szCs w:val="24"/>
          <w:highlight w:val="none"/>
          <w:lang w:val="en-US" w:eastAsia="zh-CN"/>
        </w:rPr>
        <w:t>要求</w:t>
      </w:r>
      <w:r>
        <w:rPr>
          <w:rFonts w:hint="eastAsia" w:asciiTheme="minorEastAsia" w:hAnsiTheme="minorEastAsia" w:eastAsiaTheme="minorEastAsia" w:cstheme="minorEastAsia"/>
          <w:color w:val="auto"/>
          <w:kern w:val="0"/>
          <w:sz w:val="24"/>
          <w:szCs w:val="24"/>
          <w:highlight w:val="none"/>
          <w:lang w:val="zh-CN"/>
        </w:rPr>
        <w:t>。如乙方机械未按时到场或未确保机械数量，违约责任参考</w:t>
      </w:r>
      <w:r>
        <w:rPr>
          <w:rFonts w:hint="eastAsia" w:asciiTheme="minorEastAsia" w:hAnsiTheme="minorEastAsia" w:eastAsiaTheme="minorEastAsia" w:cstheme="minorEastAsia"/>
          <w:color w:val="auto"/>
          <w:kern w:val="0"/>
          <w:sz w:val="24"/>
          <w:szCs w:val="24"/>
          <w:highlight w:val="none"/>
          <w:lang w:val="en-US" w:eastAsia="zh-CN"/>
        </w:rPr>
        <w:t>以下</w:t>
      </w:r>
      <w:r>
        <w:rPr>
          <w:rFonts w:hint="eastAsia" w:asciiTheme="minorEastAsia" w:hAnsiTheme="minorEastAsia" w:eastAsiaTheme="minorEastAsia" w:cstheme="minorEastAsia"/>
          <w:color w:val="auto"/>
          <w:kern w:val="0"/>
          <w:sz w:val="24"/>
          <w:szCs w:val="24"/>
          <w:highlight w:val="none"/>
          <w:lang w:val="zh-CN"/>
        </w:rPr>
        <w:t>第</w:t>
      </w:r>
      <w:r>
        <w:rPr>
          <w:rFonts w:hint="eastAsia" w:asciiTheme="minorEastAsia" w:hAnsiTheme="minorEastAsia" w:eastAsiaTheme="minorEastAsia" w:cstheme="minorEastAsia"/>
          <w:color w:val="auto"/>
          <w:kern w:val="0"/>
          <w:sz w:val="24"/>
          <w:szCs w:val="24"/>
          <w:highlight w:val="none"/>
          <w:lang w:val="en-US" w:eastAsia="zh-CN"/>
        </w:rPr>
        <w:t>七</w:t>
      </w:r>
      <w:r>
        <w:rPr>
          <w:rFonts w:hint="eastAsia" w:asciiTheme="minorEastAsia" w:hAnsiTheme="minorEastAsia" w:eastAsiaTheme="minorEastAsia" w:cstheme="minorEastAsia"/>
          <w:color w:val="auto"/>
          <w:kern w:val="0"/>
          <w:sz w:val="24"/>
          <w:szCs w:val="24"/>
          <w:highlight w:val="none"/>
          <w:lang w:val="zh-CN"/>
        </w:rPr>
        <w:t>项第</w:t>
      </w:r>
      <w:r>
        <w:rPr>
          <w:rFonts w:hint="eastAsia" w:asciiTheme="minorEastAsia" w:hAnsiTheme="minorEastAsia" w:eastAsiaTheme="minorEastAsia" w:cstheme="minorEastAsia"/>
          <w:color w:val="auto"/>
          <w:kern w:val="0"/>
          <w:sz w:val="24"/>
          <w:szCs w:val="24"/>
          <w:highlight w:val="none"/>
          <w:lang w:val="en-US" w:eastAsia="zh-CN"/>
        </w:rPr>
        <w:t>1条款。</w:t>
      </w:r>
    </w:p>
    <w:p w14:paraId="6A46E2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Theme="minorEastAsia" w:hAnsiTheme="minorEastAsia" w:eastAsiaTheme="minorEastAsia" w:cstheme="minorEastAsia"/>
          <w:b/>
          <w:bCs/>
          <w:color w:val="auto"/>
          <w:kern w:val="0"/>
          <w:sz w:val="24"/>
          <w:szCs w:val="24"/>
          <w:highlight w:val="none"/>
          <w:lang w:val="zh-CN"/>
        </w:rPr>
      </w:pPr>
      <w:r>
        <w:rPr>
          <w:rFonts w:hint="eastAsia" w:asciiTheme="minorEastAsia" w:hAnsiTheme="minorEastAsia" w:eastAsiaTheme="minorEastAsia" w:cstheme="minorEastAsia"/>
          <w:b/>
          <w:bCs/>
          <w:color w:val="auto"/>
          <w:kern w:val="0"/>
          <w:sz w:val="24"/>
          <w:szCs w:val="24"/>
          <w:highlight w:val="none"/>
          <w:lang w:val="zh-CN"/>
        </w:rPr>
        <w:t>七、违约责任</w:t>
      </w:r>
    </w:p>
    <w:p w14:paraId="105FECC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color w:val="auto"/>
          <w:kern w:val="0"/>
          <w:sz w:val="24"/>
          <w:szCs w:val="24"/>
          <w:highlight w:val="none"/>
          <w:lang w:val="en-US" w:eastAsia="zh-CN"/>
        </w:rPr>
      </w:pPr>
      <w:r>
        <w:rPr>
          <w:rFonts w:hint="eastAsia" w:cs="Calibri" w:eastAsiaTheme="minorEastAsia"/>
          <w:b/>
          <w:bCs/>
          <w:color w:val="auto"/>
          <w:kern w:val="0"/>
          <w:sz w:val="24"/>
          <w:szCs w:val="24"/>
          <w:highlight w:val="none"/>
          <w:lang w:val="en-US" w:eastAsia="zh-CN"/>
        </w:rPr>
        <w:t>1.</w:t>
      </w:r>
      <w:r>
        <w:rPr>
          <w:rFonts w:hint="eastAsia" w:asciiTheme="minorEastAsia" w:hAnsiTheme="minorEastAsia" w:eastAsiaTheme="minorEastAsia" w:cstheme="minorEastAsia"/>
          <w:b/>
          <w:bCs/>
          <w:color w:val="auto"/>
          <w:kern w:val="0"/>
          <w:sz w:val="24"/>
          <w:szCs w:val="24"/>
          <w:highlight w:val="none"/>
          <w:lang w:val="zh-CN"/>
        </w:rPr>
        <w:t>作业期间，乙方须</w:t>
      </w:r>
      <w:r>
        <w:rPr>
          <w:rFonts w:hint="eastAsia" w:asciiTheme="minorEastAsia" w:hAnsiTheme="minorEastAsia" w:eastAsiaTheme="minorEastAsia" w:cstheme="minorEastAsia"/>
          <w:b/>
          <w:bCs/>
          <w:color w:val="auto"/>
          <w:kern w:val="0"/>
          <w:sz w:val="24"/>
          <w:szCs w:val="24"/>
          <w:highlight w:val="none"/>
          <w:lang w:val="en-US" w:eastAsia="zh-CN"/>
        </w:rPr>
        <w:t>根据甲方需求</w:t>
      </w:r>
      <w:r>
        <w:rPr>
          <w:rFonts w:hint="eastAsia" w:asciiTheme="minorEastAsia" w:hAnsiTheme="minorEastAsia" w:eastAsiaTheme="minorEastAsia" w:cstheme="minorEastAsia"/>
          <w:b/>
          <w:bCs/>
          <w:color w:val="auto"/>
          <w:kern w:val="0"/>
          <w:sz w:val="24"/>
          <w:szCs w:val="24"/>
          <w:highlight w:val="none"/>
          <w:lang w:val="zh-CN"/>
        </w:rPr>
        <w:t>配备足够收割车辆。若因乙方收割车辆数量不足等自身原因，导致</w:t>
      </w:r>
      <w:r>
        <w:rPr>
          <w:rFonts w:hint="eastAsia" w:asciiTheme="minorEastAsia" w:hAnsiTheme="minorEastAsia" w:eastAsiaTheme="minorEastAsia" w:cstheme="minorEastAsia"/>
          <w:b/>
          <w:bCs/>
          <w:color w:val="auto"/>
          <w:kern w:val="0"/>
          <w:sz w:val="24"/>
          <w:szCs w:val="24"/>
          <w:highlight w:val="none"/>
          <w:lang w:val="en-US" w:eastAsia="zh-CN"/>
        </w:rPr>
        <w:t>甲方水稻</w:t>
      </w:r>
      <w:r>
        <w:rPr>
          <w:rFonts w:hint="eastAsia" w:asciiTheme="minorEastAsia" w:hAnsiTheme="minorEastAsia" w:eastAsiaTheme="minorEastAsia" w:cstheme="minorEastAsia"/>
          <w:b/>
          <w:bCs/>
          <w:color w:val="auto"/>
          <w:kern w:val="0"/>
          <w:sz w:val="24"/>
          <w:szCs w:val="24"/>
          <w:highlight w:val="none"/>
          <w:lang w:val="zh-CN"/>
        </w:rPr>
        <w:t>收割进度减慢，甲方有权</w:t>
      </w:r>
      <w:r>
        <w:rPr>
          <w:rFonts w:hint="eastAsia" w:asciiTheme="minorEastAsia" w:hAnsiTheme="minorEastAsia" w:eastAsiaTheme="minorEastAsia" w:cstheme="minorEastAsia"/>
          <w:b/>
          <w:bCs/>
          <w:color w:val="auto"/>
          <w:kern w:val="0"/>
          <w:sz w:val="24"/>
          <w:szCs w:val="24"/>
          <w:highlight w:val="none"/>
          <w:lang w:val="en-US" w:eastAsia="zh-CN"/>
        </w:rPr>
        <w:t>从</w:t>
      </w:r>
      <w:r>
        <w:rPr>
          <w:rFonts w:hint="eastAsia" w:asciiTheme="minorEastAsia" w:hAnsiTheme="minorEastAsia" w:eastAsiaTheme="minorEastAsia" w:cstheme="minorEastAsia"/>
          <w:b/>
          <w:bCs/>
          <w:color w:val="auto"/>
          <w:kern w:val="0"/>
          <w:sz w:val="24"/>
          <w:szCs w:val="24"/>
          <w:highlight w:val="none"/>
          <w:lang w:val="zh-CN"/>
        </w:rPr>
        <w:t>乙方已缴纳的保证金中扣除相应金额，</w:t>
      </w:r>
      <w:r>
        <w:rPr>
          <w:rFonts w:hint="eastAsia" w:cs="Calibri" w:eastAsiaTheme="minorEastAsia"/>
          <w:b/>
          <w:bCs/>
          <w:color w:val="auto"/>
          <w:kern w:val="0"/>
          <w:sz w:val="24"/>
          <w:szCs w:val="24"/>
          <w:highlight w:val="none"/>
          <w:lang w:val="en-US" w:eastAsia="zh-CN"/>
        </w:rPr>
        <w:t>违约扣款规则如下：</w:t>
      </w:r>
      <w:r>
        <w:rPr>
          <w:rFonts w:hint="eastAsia" w:asciiTheme="minorEastAsia" w:hAnsiTheme="minorEastAsia" w:eastAsiaTheme="minorEastAsia" w:cstheme="minorEastAsia"/>
          <w:b/>
          <w:bCs/>
          <w:color w:val="auto"/>
          <w:kern w:val="0"/>
          <w:sz w:val="24"/>
          <w:szCs w:val="24"/>
          <w:highlight w:val="none"/>
          <w:lang w:val="en-US" w:eastAsia="zh-CN"/>
        </w:rPr>
        <w:t>若当日实际投入作业的收割机台次未达25台，按以下标准执行：</w:t>
      </w:r>
    </w:p>
    <w:p w14:paraId="706D6B7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color w:val="auto"/>
          <w:kern w:val="0"/>
          <w:sz w:val="24"/>
          <w:szCs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en-US" w:eastAsia="zh-CN"/>
        </w:rPr>
        <w:t>（1）依照甲方生产单位要求，经甲方生产单位同意后，当日实际投入作业的收割机台次低于25台的，乙方不承担保证金扣除责任；</w:t>
      </w:r>
    </w:p>
    <w:p w14:paraId="5E7D44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2" w:firstLineChars="200"/>
        <w:textAlignment w:val="auto"/>
        <w:rPr>
          <w:rFonts w:hint="default" w:asciiTheme="minorEastAsia" w:hAnsiTheme="minorEastAsia" w:eastAsiaTheme="minorEastAsia" w:cstheme="minorEastAsia"/>
          <w:color w:val="auto"/>
          <w:kern w:val="0"/>
          <w:sz w:val="24"/>
          <w:szCs w:val="24"/>
          <w:highlight w:val="none"/>
          <w:lang w:val="en-US"/>
        </w:rPr>
      </w:pPr>
      <w:r>
        <w:rPr>
          <w:rFonts w:hint="eastAsia" w:asciiTheme="minorEastAsia" w:hAnsiTheme="minorEastAsia" w:eastAsiaTheme="minorEastAsia" w:cstheme="minorEastAsia"/>
          <w:b/>
          <w:bCs/>
          <w:color w:val="auto"/>
          <w:kern w:val="0"/>
          <w:sz w:val="24"/>
          <w:szCs w:val="24"/>
          <w:highlight w:val="none"/>
          <w:lang w:val="en-US" w:eastAsia="zh-CN"/>
        </w:rPr>
        <w:t>（2）未经甲方生产单位同意、因乙方自身原因导致当日实际投入作业的收割机台次低于25台，造成收割延误的，每少1台次从乙方缴纳的保证金中扣除3000元。扣款优先从保证金中列支，直至保证金全额扣完；若保证金不足以抵扣全部扣款，不足部分将直接从应付乙方的作业费用中扣除。</w:t>
      </w:r>
      <w:r>
        <w:rPr>
          <w:rFonts w:hint="eastAsia" w:asciiTheme="minorEastAsia" w:hAnsiTheme="minorEastAsia" w:eastAsiaTheme="minorEastAsia" w:cstheme="minorEastAsia"/>
          <w:color w:val="auto"/>
          <w:kern w:val="0"/>
          <w:sz w:val="24"/>
          <w:szCs w:val="24"/>
          <w:highlight w:val="none"/>
          <w:lang w:val="zh-CN"/>
        </w:rPr>
        <w:t>造成甲方</w:t>
      </w:r>
      <w:r>
        <w:rPr>
          <w:rFonts w:hint="eastAsia" w:asciiTheme="minorEastAsia" w:hAnsiTheme="minorEastAsia" w:eastAsiaTheme="minorEastAsia" w:cstheme="minorEastAsia"/>
          <w:color w:val="auto"/>
          <w:kern w:val="0"/>
          <w:sz w:val="24"/>
          <w:szCs w:val="24"/>
          <w:highlight w:val="none"/>
          <w:lang w:val="zh-CN" w:eastAsia="zh-CN"/>
        </w:rPr>
        <w:t>损失的，乙方须赔偿甲方的所有损失。</w:t>
      </w:r>
    </w:p>
    <w:p w14:paraId="2E4CBD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en-US" w:eastAsia="zh-CN"/>
        </w:rPr>
        <w:t>2.若</w:t>
      </w:r>
      <w:r>
        <w:rPr>
          <w:rFonts w:hint="eastAsia" w:asciiTheme="minorEastAsia" w:hAnsiTheme="minorEastAsia" w:eastAsiaTheme="minorEastAsia" w:cstheme="minorEastAsia"/>
          <w:color w:val="auto"/>
          <w:kern w:val="0"/>
          <w:sz w:val="24"/>
          <w:szCs w:val="24"/>
          <w:highlight w:val="none"/>
          <w:lang w:val="zh-CN"/>
        </w:rPr>
        <w:t>乙方机械未在甲方电话通知指定时间内到达指定的作业地点，甲方有权指定</w:t>
      </w:r>
      <w:r>
        <w:rPr>
          <w:rFonts w:hint="eastAsia" w:asciiTheme="minorEastAsia" w:hAnsiTheme="minorEastAsia" w:eastAsiaTheme="minorEastAsia" w:cstheme="minorEastAsia"/>
          <w:color w:val="auto"/>
          <w:kern w:val="0"/>
          <w:sz w:val="24"/>
          <w:szCs w:val="24"/>
          <w:highlight w:val="none"/>
          <w:lang w:val="en-US" w:eastAsia="zh-CN"/>
        </w:rPr>
        <w:t>生产单位</w:t>
      </w:r>
      <w:r>
        <w:rPr>
          <w:rFonts w:hint="eastAsia" w:asciiTheme="minorEastAsia" w:hAnsiTheme="minorEastAsia" w:eastAsiaTheme="minorEastAsia" w:cstheme="minorEastAsia"/>
          <w:color w:val="auto"/>
          <w:kern w:val="0"/>
          <w:sz w:val="24"/>
          <w:szCs w:val="24"/>
          <w:highlight w:val="none"/>
          <w:lang w:val="zh-CN"/>
        </w:rPr>
        <w:t>另行组织机械，所产生的费用差额从乙方收割作业费用中支出。造成甲方</w:t>
      </w:r>
      <w:r>
        <w:rPr>
          <w:rFonts w:hint="eastAsia" w:asciiTheme="minorEastAsia" w:hAnsiTheme="minorEastAsia" w:eastAsiaTheme="minorEastAsia" w:cstheme="minorEastAsia"/>
          <w:color w:val="auto"/>
          <w:kern w:val="0"/>
          <w:sz w:val="24"/>
          <w:szCs w:val="24"/>
          <w:highlight w:val="none"/>
          <w:lang w:val="zh-CN" w:eastAsia="zh-CN"/>
        </w:rPr>
        <w:t>损失的，乙方须赔偿甲方的所有损失。</w:t>
      </w:r>
    </w:p>
    <w:p w14:paraId="608B0F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en-US" w:eastAsia="zh-CN"/>
        </w:rPr>
        <w:t>3.</w:t>
      </w:r>
      <w:r>
        <w:rPr>
          <w:rFonts w:hint="eastAsia" w:asciiTheme="minorEastAsia" w:hAnsiTheme="minorEastAsia" w:eastAsiaTheme="minorEastAsia" w:cstheme="minorEastAsia"/>
          <w:color w:val="auto"/>
          <w:kern w:val="0"/>
          <w:sz w:val="24"/>
          <w:szCs w:val="24"/>
          <w:highlight w:val="none"/>
          <w:lang w:val="zh-CN"/>
        </w:rPr>
        <w:t>乙方收割机械中途离场，甲方有权扣除全部履约保证金。造成损失的，履约保证金不足弥补损失，甲方有权</w:t>
      </w:r>
      <w:r>
        <w:rPr>
          <w:rFonts w:hint="eastAsia" w:asciiTheme="minorEastAsia" w:hAnsiTheme="minorEastAsia" w:eastAsiaTheme="minorEastAsia" w:cstheme="minorEastAsia"/>
          <w:color w:val="auto"/>
          <w:kern w:val="0"/>
          <w:sz w:val="24"/>
          <w:szCs w:val="24"/>
          <w:highlight w:val="none"/>
          <w:lang w:val="zh-CN" w:eastAsia="zh-CN"/>
        </w:rPr>
        <w:t>要求乙方赔偿甲方的全部损失。</w:t>
      </w:r>
    </w:p>
    <w:p w14:paraId="0F5ADC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4.</w:t>
      </w:r>
      <w:r>
        <w:rPr>
          <w:rFonts w:hint="eastAsia" w:cs="宋体" w:asciiTheme="minorEastAsia" w:hAnsiTheme="minorEastAsia" w:eastAsiaTheme="minorEastAsia"/>
          <w:color w:val="auto"/>
          <w:sz w:val="24"/>
          <w:highlight w:val="none"/>
        </w:rPr>
        <w:t>乙方</w:t>
      </w:r>
      <w:r>
        <w:rPr>
          <w:rFonts w:hint="eastAsia" w:cs="仿宋" w:asciiTheme="minorEastAsia" w:hAnsiTheme="minorEastAsia" w:eastAsiaTheme="minorEastAsia"/>
          <w:bCs/>
          <w:color w:val="auto"/>
          <w:sz w:val="24"/>
          <w:highlight w:val="none"/>
        </w:rPr>
        <w:t>要按照甲方的要求</w:t>
      </w:r>
      <w:r>
        <w:rPr>
          <w:rFonts w:hint="eastAsia" w:cs="仿宋" w:asciiTheme="minorEastAsia" w:hAnsiTheme="minorEastAsia" w:eastAsiaTheme="minorEastAsia"/>
          <w:bCs/>
          <w:color w:val="auto"/>
          <w:sz w:val="24"/>
          <w:highlight w:val="none"/>
          <w:lang w:eastAsia="zh-CN"/>
        </w:rPr>
        <w:t>保质保量</w:t>
      </w:r>
      <w:r>
        <w:rPr>
          <w:rFonts w:hint="eastAsia" w:cs="仿宋" w:asciiTheme="minorEastAsia" w:hAnsiTheme="minorEastAsia" w:eastAsiaTheme="minorEastAsia"/>
          <w:bCs/>
          <w:color w:val="auto"/>
          <w:sz w:val="24"/>
          <w:highlight w:val="none"/>
        </w:rPr>
        <w:t>完成作业任务，</w:t>
      </w:r>
      <w:r>
        <w:rPr>
          <w:rFonts w:hint="eastAsia" w:cs="仿宋" w:asciiTheme="minorEastAsia" w:hAnsiTheme="minorEastAsia" w:eastAsiaTheme="minorEastAsia"/>
          <w:bCs/>
          <w:color w:val="auto"/>
          <w:sz w:val="24"/>
          <w:highlight w:val="none"/>
          <w:lang w:eastAsia="zh-CN"/>
        </w:rPr>
        <w:t>若</w:t>
      </w:r>
      <w:r>
        <w:rPr>
          <w:rFonts w:hint="eastAsia" w:asciiTheme="minorEastAsia" w:hAnsiTheme="minorEastAsia" w:eastAsiaTheme="minorEastAsia" w:cstheme="minorEastAsia"/>
          <w:color w:val="auto"/>
          <w:kern w:val="0"/>
          <w:sz w:val="24"/>
          <w:szCs w:val="24"/>
          <w:highlight w:val="none"/>
          <w:lang w:val="en-US" w:eastAsia="zh-CN"/>
        </w:rPr>
        <w:t>未在规定时间内完成收割任务，</w:t>
      </w:r>
      <w:r>
        <w:rPr>
          <w:rFonts w:hint="eastAsia" w:cs="仿宋" w:asciiTheme="minorEastAsia" w:hAnsiTheme="minorEastAsia" w:eastAsiaTheme="minorEastAsia"/>
          <w:bCs/>
          <w:color w:val="auto"/>
          <w:sz w:val="24"/>
          <w:highlight w:val="none"/>
        </w:rPr>
        <w:t>甲方有权</w:t>
      </w:r>
      <w:r>
        <w:rPr>
          <w:rFonts w:hint="eastAsia" w:cs="仿宋" w:asciiTheme="minorEastAsia" w:hAnsiTheme="minorEastAsia" w:eastAsiaTheme="minorEastAsia"/>
          <w:bCs/>
          <w:color w:val="auto"/>
          <w:sz w:val="24"/>
          <w:highlight w:val="none"/>
          <w:lang w:eastAsia="zh-CN"/>
        </w:rPr>
        <w:t>增加</w:t>
      </w:r>
      <w:r>
        <w:rPr>
          <w:rFonts w:hint="eastAsia" w:cs="仿宋" w:asciiTheme="minorEastAsia" w:hAnsiTheme="minorEastAsia" w:eastAsiaTheme="minorEastAsia"/>
          <w:bCs/>
          <w:color w:val="auto"/>
          <w:sz w:val="24"/>
          <w:highlight w:val="none"/>
        </w:rPr>
        <w:t>机械</w:t>
      </w:r>
      <w:r>
        <w:rPr>
          <w:rFonts w:hint="eastAsia" w:cs="仿宋" w:asciiTheme="minorEastAsia" w:hAnsiTheme="minorEastAsia" w:eastAsiaTheme="minorEastAsia"/>
          <w:bCs/>
          <w:color w:val="auto"/>
          <w:sz w:val="24"/>
          <w:highlight w:val="none"/>
          <w:lang w:eastAsia="zh-CN"/>
        </w:rPr>
        <w:t>进场作业</w:t>
      </w:r>
      <w:r>
        <w:rPr>
          <w:rFonts w:hint="eastAsia" w:cs="仿宋" w:asciiTheme="minorEastAsia" w:hAnsiTheme="minorEastAsia" w:eastAsiaTheme="minorEastAsia"/>
          <w:bCs/>
          <w:color w:val="auto"/>
          <w:sz w:val="24"/>
          <w:highlight w:val="none"/>
        </w:rPr>
        <w:t>，</w:t>
      </w:r>
      <w:r>
        <w:rPr>
          <w:rFonts w:hint="eastAsia" w:cs="仿宋" w:asciiTheme="minorEastAsia" w:hAnsiTheme="minorEastAsia" w:eastAsiaTheme="minorEastAsia"/>
          <w:bCs/>
          <w:color w:val="auto"/>
          <w:sz w:val="24"/>
          <w:highlight w:val="none"/>
          <w:lang w:eastAsia="zh-CN"/>
        </w:rPr>
        <w:t>因乙方延迟作业造成的一切损失，包含甲方增加机械费用，由</w:t>
      </w:r>
      <w:r>
        <w:rPr>
          <w:rFonts w:hint="eastAsia" w:cs="仿宋" w:asciiTheme="minorEastAsia" w:hAnsiTheme="minorEastAsia" w:eastAsiaTheme="minorEastAsia"/>
          <w:bCs/>
          <w:color w:val="auto"/>
          <w:sz w:val="24"/>
          <w:highlight w:val="none"/>
        </w:rPr>
        <w:t>乙方</w:t>
      </w:r>
      <w:r>
        <w:rPr>
          <w:rFonts w:hint="eastAsia" w:cs="仿宋" w:asciiTheme="minorEastAsia" w:hAnsiTheme="minorEastAsia" w:eastAsiaTheme="minorEastAsia"/>
          <w:bCs/>
          <w:color w:val="auto"/>
          <w:sz w:val="24"/>
          <w:highlight w:val="none"/>
          <w:lang w:eastAsia="zh-CN"/>
        </w:rPr>
        <w:t>全额承担。同时，乙方</w:t>
      </w:r>
      <w:r>
        <w:rPr>
          <w:rFonts w:hint="eastAsia" w:asciiTheme="minorEastAsia" w:hAnsiTheme="minorEastAsia" w:eastAsiaTheme="minorEastAsia" w:cstheme="minorEastAsia"/>
          <w:color w:val="auto"/>
          <w:kern w:val="0"/>
          <w:sz w:val="24"/>
          <w:szCs w:val="24"/>
          <w:highlight w:val="none"/>
          <w:lang w:val="en-US" w:eastAsia="zh-CN"/>
        </w:rPr>
        <w:t>每逾期一天，向甲方支付合同价款2%的违约金，逾期</w:t>
      </w:r>
      <w:r>
        <w:rPr>
          <w:rFonts w:hint="eastAsia" w:asciiTheme="minorEastAsia" w:hAnsiTheme="minorEastAsia" w:eastAsiaTheme="minorEastAsia" w:cstheme="minorEastAsia"/>
          <w:b/>
          <w:bCs/>
          <w:color w:val="auto"/>
          <w:kern w:val="0"/>
          <w:sz w:val="24"/>
          <w:szCs w:val="24"/>
          <w:highlight w:val="none"/>
          <w:lang w:val="en-US" w:eastAsia="zh-CN"/>
        </w:rPr>
        <w:t>五日</w:t>
      </w:r>
      <w:r>
        <w:rPr>
          <w:rFonts w:hint="eastAsia" w:asciiTheme="minorEastAsia" w:hAnsiTheme="minorEastAsia" w:eastAsiaTheme="minorEastAsia" w:cstheme="minorEastAsia"/>
          <w:color w:val="auto"/>
          <w:kern w:val="0"/>
          <w:sz w:val="24"/>
          <w:szCs w:val="24"/>
          <w:highlight w:val="none"/>
          <w:lang w:val="en-US" w:eastAsia="zh-CN"/>
        </w:rPr>
        <w:t>，甲方有权解除合同，并有权另行组织机械进场作业，因乙方延迟作业造成的一切损失由乙方全额承担。</w:t>
      </w:r>
    </w:p>
    <w:p w14:paraId="761B6A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color w:val="auto"/>
          <w:lang w:val="en-US" w:eastAsia="zh-CN"/>
        </w:rPr>
      </w:pPr>
      <w:r>
        <w:rPr>
          <w:rFonts w:hint="eastAsia" w:asciiTheme="minorEastAsia" w:hAnsiTheme="minorEastAsia" w:eastAsiaTheme="minorEastAsia" w:cstheme="minorEastAsia"/>
          <w:color w:val="auto"/>
          <w:kern w:val="0"/>
          <w:sz w:val="24"/>
          <w:szCs w:val="24"/>
          <w:highlight w:val="none"/>
          <w:lang w:val="en-US" w:eastAsia="zh-CN"/>
        </w:rPr>
        <w:t>5.</w:t>
      </w:r>
      <w:r>
        <w:rPr>
          <w:rFonts w:hint="eastAsia" w:cs="宋体" w:asciiTheme="minorEastAsia" w:hAnsiTheme="minorEastAsia" w:eastAsiaTheme="minorEastAsia"/>
          <w:color w:val="auto"/>
          <w:sz w:val="24"/>
          <w:highlight w:val="none"/>
          <w:lang w:val="en-US" w:eastAsia="zh-CN"/>
        </w:rPr>
        <w:t>本项目不允许分包或违法转包，如有违反，乙方需承担合同总金额的30%违约金。</w:t>
      </w:r>
    </w:p>
    <w:p w14:paraId="122DDC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Theme="minorEastAsia" w:hAnsiTheme="minorEastAsia" w:eastAsiaTheme="minorEastAsia" w:cstheme="minorEastAsia"/>
          <w:b/>
          <w:bCs/>
          <w:color w:val="auto"/>
          <w:kern w:val="0"/>
          <w:sz w:val="24"/>
          <w:szCs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en-US" w:eastAsia="zh-CN"/>
        </w:rPr>
        <w:t>八、作业质量及面积争议处理方法</w:t>
      </w:r>
    </w:p>
    <w:p w14:paraId="0568DB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1.由农场领导、分场长随机抽3名条田工组成一个质量争议处理小组，采用投票表决认定，协调解决农机作业质量争议；对作业面积发生争议的，采用双方认可的三个测量仪，同时测二次，取平均数确定面积；</w:t>
      </w:r>
    </w:p>
    <w:p w14:paraId="2D885D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2.双方当事人对作业质量及面积争议协商或调解不成的，甲乙双方同意按以下第（2）种方式解决纠纷：</w:t>
      </w:r>
    </w:p>
    <w:p w14:paraId="23DAD8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（1）向连云港市仲裁委申请仲裁；</w:t>
      </w:r>
    </w:p>
    <w:p w14:paraId="1F69DC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（2）向甲方公司所在地人民法院提起诉讼。</w:t>
      </w:r>
    </w:p>
    <w:p w14:paraId="1607D6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乙方承诺只要发生诉讼，承担包括但不限于诉讼费、律师费、保全费、执行费等一切费用。</w:t>
      </w:r>
    </w:p>
    <w:p w14:paraId="2F312A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Theme="minorEastAsia" w:hAnsiTheme="minorEastAsia" w:eastAsiaTheme="minorEastAsia" w:cstheme="minorEastAsia"/>
          <w:b/>
          <w:bCs/>
          <w:color w:val="auto"/>
          <w:kern w:val="0"/>
          <w:sz w:val="24"/>
          <w:szCs w:val="24"/>
          <w:highlight w:val="none"/>
          <w:lang w:val="en-US" w:eastAsia="zh-CN"/>
        </w:rPr>
      </w:pPr>
      <w:r>
        <w:rPr>
          <w:rFonts w:hint="eastAsia" w:asciiTheme="minorEastAsia" w:hAnsiTheme="minorEastAsia" w:eastAsiaTheme="minorEastAsia" w:cstheme="minorEastAsia"/>
          <w:b/>
          <w:bCs/>
          <w:color w:val="auto"/>
          <w:kern w:val="0"/>
          <w:sz w:val="24"/>
          <w:szCs w:val="24"/>
          <w:highlight w:val="none"/>
          <w:lang w:val="en-US" w:eastAsia="zh-CN"/>
        </w:rPr>
        <w:t>九、其他事项</w:t>
      </w:r>
    </w:p>
    <w:p w14:paraId="33D285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1.本协议甲方享有任意解除权，解除权以单方通知到达乙方之日起自动生效，解除方式以口头、微信、邮件、公告等任意方式等。</w:t>
      </w:r>
    </w:p>
    <w:p w14:paraId="6599A9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2.本协议一式叁份，甲方执贰份，乙方执壹份，自签订之日起生效，每份均具有同等法律效力。</w:t>
      </w:r>
    </w:p>
    <w:p w14:paraId="022FD1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en-US" w:eastAsia="zh-CN"/>
        </w:rPr>
        <w:t>3.协议签署地：青口投资公司</w:t>
      </w:r>
    </w:p>
    <w:p w14:paraId="36FFC4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p>
    <w:p w14:paraId="207C0270">
      <w:pPr>
        <w:pStyle w:val="5"/>
        <w:rPr>
          <w:rFonts w:hint="eastAsia"/>
          <w:color w:val="auto"/>
          <w:lang w:val="zh-CN"/>
        </w:rPr>
      </w:pPr>
    </w:p>
    <w:p w14:paraId="6C08AE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zh-CN"/>
        </w:rPr>
        <w:t xml:space="preserve">甲  方（盖章）：            </w:t>
      </w:r>
      <w:r>
        <w:rPr>
          <w:rFonts w:hint="eastAsia" w:asciiTheme="minorEastAsia" w:hAnsiTheme="minorEastAsia" w:eastAsiaTheme="minorEastAsia" w:cstheme="minorEastAsia"/>
          <w:color w:val="auto"/>
          <w:kern w:val="0"/>
          <w:sz w:val="24"/>
          <w:szCs w:val="24"/>
          <w:highlight w:val="none"/>
          <w:lang w:val="en-US" w:eastAsia="zh-CN"/>
        </w:rPr>
        <w:t xml:space="preserve">   </w:t>
      </w:r>
      <w:r>
        <w:rPr>
          <w:rFonts w:hint="eastAsia" w:asciiTheme="minorEastAsia" w:hAnsiTheme="minorEastAsia" w:eastAsiaTheme="minorEastAsia" w:cstheme="minorEastAsia"/>
          <w:color w:val="auto"/>
          <w:kern w:val="0"/>
          <w:sz w:val="24"/>
          <w:szCs w:val="24"/>
          <w:highlight w:val="none"/>
          <w:lang w:val="zh-CN"/>
        </w:rPr>
        <w:t xml:space="preserve">     乙  方（盖章）：</w:t>
      </w:r>
    </w:p>
    <w:p w14:paraId="2C17DD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lang w:val="zh-CN"/>
        </w:rPr>
      </w:pPr>
      <w:r>
        <w:rPr>
          <w:rFonts w:hint="eastAsia" w:asciiTheme="minorEastAsia" w:hAnsiTheme="minorEastAsia" w:eastAsiaTheme="minorEastAsia" w:cstheme="minorEastAsia"/>
          <w:color w:val="auto"/>
          <w:kern w:val="0"/>
          <w:sz w:val="24"/>
          <w:szCs w:val="24"/>
          <w:highlight w:val="none"/>
          <w:lang w:val="zh-CN" w:eastAsia="zh-CN"/>
        </w:rPr>
        <w:t>签</w:t>
      </w:r>
      <w:r>
        <w:rPr>
          <w:rFonts w:hint="eastAsia" w:asciiTheme="minorEastAsia" w:hAnsiTheme="minorEastAsia" w:eastAsiaTheme="minorEastAsia" w:cstheme="minorEastAsia"/>
          <w:color w:val="auto"/>
          <w:kern w:val="0"/>
          <w:sz w:val="24"/>
          <w:szCs w:val="24"/>
          <w:highlight w:val="none"/>
          <w:lang w:val="en-US" w:eastAsia="zh-CN"/>
        </w:rPr>
        <w:t xml:space="preserve">  </w:t>
      </w:r>
      <w:r>
        <w:rPr>
          <w:rFonts w:hint="eastAsia" w:asciiTheme="minorEastAsia" w:hAnsiTheme="minorEastAsia" w:eastAsiaTheme="minorEastAsia" w:cstheme="minorEastAsia"/>
          <w:color w:val="auto"/>
          <w:kern w:val="0"/>
          <w:sz w:val="24"/>
          <w:szCs w:val="24"/>
          <w:highlight w:val="none"/>
          <w:lang w:val="zh-CN" w:eastAsia="zh-CN"/>
        </w:rPr>
        <w:t>字</w:t>
      </w:r>
      <w:r>
        <w:rPr>
          <w:rFonts w:hint="eastAsia" w:asciiTheme="minorEastAsia" w:hAnsiTheme="minorEastAsia" w:eastAsiaTheme="minorEastAsia" w:cstheme="minorEastAsia"/>
          <w:color w:val="auto"/>
          <w:kern w:val="0"/>
          <w:sz w:val="24"/>
          <w:szCs w:val="24"/>
          <w:highlight w:val="none"/>
          <w:lang w:val="zh-CN"/>
        </w:rPr>
        <w:t xml:space="preserve">：                   </w:t>
      </w:r>
      <w:r>
        <w:rPr>
          <w:rFonts w:hint="eastAsia" w:asciiTheme="minorEastAsia" w:hAnsiTheme="minorEastAsia" w:eastAsiaTheme="minorEastAsia" w:cstheme="minorEastAsia"/>
          <w:color w:val="auto"/>
          <w:kern w:val="0"/>
          <w:sz w:val="24"/>
          <w:szCs w:val="24"/>
          <w:highlight w:val="none"/>
          <w:lang w:val="en-US" w:eastAsia="zh-CN"/>
        </w:rPr>
        <w:t xml:space="preserve">         </w:t>
      </w:r>
      <w:r>
        <w:rPr>
          <w:rFonts w:hint="eastAsia" w:asciiTheme="minorEastAsia" w:hAnsiTheme="minorEastAsia" w:eastAsiaTheme="minorEastAsia" w:cstheme="minorEastAsia"/>
          <w:color w:val="auto"/>
          <w:kern w:val="0"/>
          <w:sz w:val="24"/>
          <w:szCs w:val="24"/>
          <w:highlight w:val="none"/>
          <w:lang w:val="zh-CN" w:eastAsia="zh-CN"/>
        </w:rPr>
        <w:t>签</w:t>
      </w:r>
      <w:r>
        <w:rPr>
          <w:rFonts w:hint="eastAsia" w:asciiTheme="minorEastAsia" w:hAnsiTheme="minorEastAsia" w:eastAsiaTheme="minorEastAsia" w:cstheme="minorEastAsia"/>
          <w:color w:val="auto"/>
          <w:kern w:val="0"/>
          <w:sz w:val="24"/>
          <w:szCs w:val="24"/>
          <w:highlight w:val="none"/>
          <w:lang w:val="en-US" w:eastAsia="zh-CN"/>
        </w:rPr>
        <w:t xml:space="preserve">  </w:t>
      </w:r>
      <w:r>
        <w:rPr>
          <w:rFonts w:hint="eastAsia" w:asciiTheme="minorEastAsia" w:hAnsiTheme="minorEastAsia" w:eastAsiaTheme="minorEastAsia" w:cstheme="minorEastAsia"/>
          <w:color w:val="auto"/>
          <w:kern w:val="0"/>
          <w:sz w:val="24"/>
          <w:szCs w:val="24"/>
          <w:highlight w:val="none"/>
          <w:lang w:val="zh-CN" w:eastAsia="zh-CN"/>
        </w:rPr>
        <w:t>字</w:t>
      </w:r>
      <w:r>
        <w:rPr>
          <w:rFonts w:hint="eastAsia" w:asciiTheme="minorEastAsia" w:hAnsiTheme="minorEastAsia" w:eastAsiaTheme="minorEastAsia" w:cstheme="minorEastAsia"/>
          <w:color w:val="auto"/>
          <w:kern w:val="0"/>
          <w:sz w:val="24"/>
          <w:szCs w:val="24"/>
          <w:highlight w:val="none"/>
          <w:lang w:val="zh-CN"/>
        </w:rPr>
        <w:t xml:space="preserve">： </w:t>
      </w:r>
    </w:p>
    <w:p w14:paraId="0EFA76C7">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rPr>
          <w:rFonts w:hint="eastAsia" w:asciiTheme="minorEastAsia" w:hAnsiTheme="minorEastAsia" w:eastAsiaTheme="minorEastAsia" w:cstheme="minorEastAsia"/>
          <w:color w:val="auto"/>
          <w:kern w:val="0"/>
          <w:sz w:val="24"/>
          <w:szCs w:val="24"/>
          <w:highlight w:val="none"/>
          <w:lang w:val="zh-CN"/>
        </w:rPr>
      </w:pPr>
    </w:p>
    <w:p w14:paraId="34F424BB">
      <w:pPr>
        <w:spacing w:line="400" w:lineRule="exact"/>
        <w:jc w:val="right"/>
        <w:rPr>
          <w:rFonts w:hint="eastAsia" w:ascii="方正小标宋简体" w:hAnsi="方正小标宋简体" w:eastAsia="方正小标宋简体" w:cs="方正小标宋简体"/>
          <w:color w:val="auto"/>
          <w:sz w:val="36"/>
          <w:szCs w:val="44"/>
          <w:highlight w:val="none"/>
          <w:lang w:val="en-US" w:eastAsia="zh-CN"/>
        </w:rPr>
      </w:pPr>
      <w:r>
        <w:rPr>
          <w:rFonts w:hint="eastAsia" w:asciiTheme="minorEastAsia" w:hAnsiTheme="minorEastAsia" w:eastAsiaTheme="minorEastAsia" w:cstheme="minorEastAsia"/>
          <w:color w:val="auto"/>
          <w:kern w:val="0"/>
          <w:sz w:val="24"/>
          <w:szCs w:val="24"/>
          <w:highlight w:val="none"/>
          <w:lang w:val="zh-CN"/>
        </w:rPr>
        <w:t>年</w:t>
      </w:r>
      <w:r>
        <w:rPr>
          <w:rFonts w:hint="eastAsia" w:asciiTheme="minorEastAsia" w:hAnsiTheme="minorEastAsia" w:eastAsiaTheme="minorEastAsia" w:cstheme="minorEastAsia"/>
          <w:color w:val="auto"/>
          <w:kern w:val="0"/>
          <w:sz w:val="24"/>
          <w:szCs w:val="24"/>
          <w:highlight w:val="none"/>
          <w:lang w:val="en-US" w:eastAsia="zh-CN"/>
        </w:rPr>
        <w:t xml:space="preserve">    </w:t>
      </w:r>
      <w:r>
        <w:rPr>
          <w:rFonts w:hint="eastAsia" w:asciiTheme="minorEastAsia" w:hAnsiTheme="minorEastAsia" w:eastAsiaTheme="minorEastAsia" w:cstheme="minorEastAsia"/>
          <w:color w:val="auto"/>
          <w:kern w:val="0"/>
          <w:sz w:val="24"/>
          <w:szCs w:val="24"/>
          <w:highlight w:val="none"/>
          <w:lang w:val="zh-CN"/>
        </w:rPr>
        <w:t>月</w:t>
      </w:r>
      <w:r>
        <w:rPr>
          <w:rFonts w:hint="eastAsia" w:asciiTheme="minorEastAsia" w:hAnsiTheme="minorEastAsia" w:eastAsiaTheme="minorEastAsia" w:cstheme="minorEastAsia"/>
          <w:color w:val="auto"/>
          <w:kern w:val="0"/>
          <w:sz w:val="24"/>
          <w:szCs w:val="24"/>
          <w:highlight w:val="none"/>
          <w:lang w:val="en-US" w:eastAsia="zh-CN"/>
        </w:rPr>
        <w:t xml:space="preserve">    </w:t>
      </w:r>
      <w:r>
        <w:rPr>
          <w:rFonts w:hint="eastAsia" w:asciiTheme="minorEastAsia" w:hAnsiTheme="minorEastAsia" w:eastAsiaTheme="minorEastAsia" w:cstheme="minorEastAsia"/>
          <w:color w:val="auto"/>
          <w:kern w:val="0"/>
          <w:sz w:val="24"/>
          <w:szCs w:val="24"/>
          <w:highlight w:val="none"/>
          <w:lang w:val="zh-CN"/>
        </w:rPr>
        <w:t>日</w:t>
      </w:r>
    </w:p>
    <w:p w14:paraId="02CB1D96">
      <w:pPr>
        <w:spacing w:line="400" w:lineRule="exact"/>
        <w:jc w:val="right"/>
        <w:rPr>
          <w:rFonts w:hint="eastAsia" w:ascii="方正小标宋简体" w:hAnsi="方正小标宋简体" w:eastAsia="方正小标宋简体" w:cs="方正小标宋简体"/>
          <w:color w:val="auto"/>
          <w:sz w:val="36"/>
          <w:szCs w:val="44"/>
          <w:highlight w:val="none"/>
          <w:lang w:val="en-US" w:eastAsia="zh-CN"/>
        </w:rPr>
      </w:pPr>
    </w:p>
    <w:p w14:paraId="2CB34A64">
      <w:pPr>
        <w:spacing w:line="400" w:lineRule="exact"/>
        <w:jc w:val="center"/>
        <w:rPr>
          <w:rFonts w:hint="eastAsia" w:ascii="方正小标宋简体" w:hAnsi="方正小标宋简体" w:eastAsia="方正小标宋简体" w:cs="方正小标宋简体"/>
          <w:color w:val="auto"/>
          <w:sz w:val="36"/>
          <w:szCs w:val="44"/>
          <w:highlight w:val="none"/>
          <w:lang w:val="en-US" w:eastAsia="zh-CN"/>
        </w:rPr>
      </w:pPr>
    </w:p>
    <w:p w14:paraId="584F9CDF">
      <w:pPr>
        <w:spacing w:line="400" w:lineRule="exact"/>
        <w:jc w:val="center"/>
        <w:rPr>
          <w:rFonts w:hint="eastAsia" w:ascii="方正小标宋简体" w:hAnsi="方正小标宋简体" w:eastAsia="方正小标宋简体" w:cs="方正小标宋简体"/>
          <w:color w:val="auto"/>
          <w:sz w:val="36"/>
          <w:szCs w:val="44"/>
          <w:highlight w:val="none"/>
          <w:lang w:val="en-US" w:eastAsia="zh-CN"/>
        </w:rPr>
      </w:pPr>
    </w:p>
    <w:p w14:paraId="4F0F32FB">
      <w:pPr>
        <w:spacing w:line="400" w:lineRule="exact"/>
        <w:jc w:val="center"/>
        <w:rPr>
          <w:rFonts w:hint="eastAsia" w:ascii="方正小标宋简体" w:hAnsi="方正小标宋简体" w:eastAsia="方正小标宋简体" w:cs="方正小标宋简体"/>
          <w:color w:val="auto"/>
          <w:sz w:val="36"/>
          <w:szCs w:val="44"/>
          <w:highlight w:val="none"/>
          <w:lang w:val="en-US" w:eastAsia="zh-CN"/>
        </w:rPr>
      </w:pPr>
    </w:p>
    <w:p w14:paraId="22E0C5B0">
      <w:pPr>
        <w:rPr>
          <w:rFonts w:hint="eastAsia" w:ascii="宋体"/>
          <w:b/>
          <w:bCs/>
          <w:sz w:val="28"/>
          <w:szCs w:val="28"/>
        </w:rPr>
      </w:pPr>
      <w:r>
        <w:rPr>
          <w:rFonts w:hint="eastAsia" w:ascii="宋体"/>
          <w:b/>
          <w:bCs/>
          <w:sz w:val="28"/>
          <w:szCs w:val="28"/>
        </w:rPr>
        <w:br w:type="page"/>
      </w:r>
    </w:p>
    <w:p w14:paraId="5627BEBE">
      <w:pPr>
        <w:spacing w:line="360" w:lineRule="auto"/>
        <w:rPr>
          <w:rFonts w:hint="eastAsia" w:ascii="宋体"/>
          <w:b/>
          <w:bCs/>
          <w:sz w:val="28"/>
          <w:szCs w:val="28"/>
        </w:rPr>
      </w:pPr>
      <w:r>
        <w:rPr>
          <w:rFonts w:hint="eastAsia" w:ascii="宋体"/>
          <w:b/>
          <w:bCs/>
          <w:sz w:val="28"/>
          <w:szCs w:val="28"/>
        </w:rPr>
        <w:t>二、安全协议</w:t>
      </w:r>
    </w:p>
    <w:p w14:paraId="189A83D4">
      <w:pPr>
        <w:spacing w:line="360" w:lineRule="auto"/>
        <w:jc w:val="center"/>
        <w:rPr>
          <w:rFonts w:hint="eastAsia" w:ascii="仿宋_GB2312" w:hAnsi="仿宋_GB2312" w:eastAsia="仿宋_GB2312" w:cs="仿宋_GB2312"/>
          <w:b/>
          <w:color w:val="auto"/>
          <w:sz w:val="32"/>
          <w:szCs w:val="32"/>
          <w:lang w:eastAsia="zh-CN"/>
        </w:rPr>
      </w:pPr>
      <w:r>
        <w:rPr>
          <w:rFonts w:hint="eastAsia" w:ascii="仿宋_GB2312" w:hAnsi="仿宋_GB2312" w:eastAsia="仿宋_GB2312" w:cs="仿宋_GB2312"/>
          <w:b/>
          <w:color w:val="auto"/>
          <w:sz w:val="32"/>
          <w:szCs w:val="32"/>
        </w:rPr>
        <w:t>安全生产</w:t>
      </w:r>
      <w:r>
        <w:rPr>
          <w:rFonts w:hint="eastAsia" w:ascii="仿宋_GB2312" w:hAnsi="仿宋_GB2312" w:eastAsia="仿宋_GB2312" w:cs="仿宋_GB2312"/>
          <w:b/>
          <w:color w:val="auto"/>
          <w:sz w:val="32"/>
          <w:szCs w:val="32"/>
          <w:lang w:val="en-US" w:eastAsia="zh-CN"/>
        </w:rPr>
        <w:t>管理</w:t>
      </w:r>
      <w:r>
        <w:rPr>
          <w:rFonts w:hint="eastAsia" w:ascii="仿宋_GB2312" w:hAnsi="仿宋_GB2312" w:eastAsia="仿宋_GB2312" w:cs="仿宋_GB2312"/>
          <w:b/>
          <w:color w:val="auto"/>
          <w:sz w:val="32"/>
          <w:szCs w:val="32"/>
        </w:rPr>
        <w:t>协议</w:t>
      </w:r>
    </w:p>
    <w:p w14:paraId="1B1A759A">
      <w:pPr>
        <w:spacing w:line="360" w:lineRule="auto"/>
        <w:jc w:val="center"/>
        <w:rPr>
          <w:rFonts w:hint="eastAsia" w:eastAsia="宋体"/>
          <w:b w:val="0"/>
          <w:bCs w:val="0"/>
          <w:color w:val="auto"/>
          <w:sz w:val="28"/>
          <w:szCs w:val="28"/>
          <w:lang w:eastAsia="zh-CN"/>
        </w:rPr>
      </w:pPr>
    </w:p>
    <w:p w14:paraId="61D9948B">
      <w:pPr>
        <w:keepNext w:val="0"/>
        <w:keepLines w:val="0"/>
        <w:pageBreakBefore w:val="0"/>
        <w:kinsoku/>
        <w:wordWrap/>
        <w:overflowPunct/>
        <w:topLinePunct w:val="0"/>
        <w:autoSpaceDE/>
        <w:autoSpaceDN/>
        <w:bidi w:val="0"/>
        <w:snapToGrid/>
        <w:spacing w:line="420" w:lineRule="exact"/>
        <w:textAlignment w:val="auto"/>
        <w:rPr>
          <w:u w:val="single"/>
        </w:rPr>
      </w:pPr>
      <w:r>
        <w:rPr>
          <w:rFonts w:hint="eastAsia"/>
          <w:color w:val="auto"/>
          <w:szCs w:val="21"/>
          <w:lang w:val="en-US" w:eastAsia="zh-CN"/>
        </w:rPr>
        <w:t>甲方</w:t>
      </w:r>
      <w:r>
        <w:rPr>
          <w:color w:val="auto"/>
          <w:szCs w:val="21"/>
        </w:rPr>
        <w:t>：</w:t>
      </w:r>
      <w:r>
        <w:rPr>
          <w:rFonts w:hint="eastAsia"/>
          <w:color w:val="auto"/>
          <w:szCs w:val="21"/>
          <w:u w:val="single"/>
          <w:lang w:eastAsia="zh-CN"/>
        </w:rPr>
        <w:t>连云港市工投集团青口投资有限公司</w:t>
      </w:r>
      <w:r>
        <w:rPr>
          <w:rFonts w:hint="eastAsia"/>
          <w:color w:val="auto"/>
          <w:szCs w:val="21"/>
          <w:u w:val="single"/>
        </w:rPr>
        <w:t xml:space="preserve">   </w:t>
      </w:r>
    </w:p>
    <w:p w14:paraId="2D56D422">
      <w:pPr>
        <w:keepNext w:val="0"/>
        <w:keepLines w:val="0"/>
        <w:pageBreakBefore w:val="0"/>
        <w:kinsoku/>
        <w:wordWrap/>
        <w:overflowPunct/>
        <w:topLinePunct w:val="0"/>
        <w:autoSpaceDE/>
        <w:autoSpaceDN/>
        <w:bidi w:val="0"/>
        <w:snapToGrid/>
        <w:spacing w:line="420" w:lineRule="exact"/>
        <w:textAlignment w:val="auto"/>
        <w:rPr>
          <w:color w:val="auto"/>
          <w:szCs w:val="21"/>
          <w:u w:val="single"/>
        </w:rPr>
      </w:pPr>
      <w:r>
        <w:rPr>
          <w:rFonts w:hint="eastAsia"/>
          <w:color w:val="auto"/>
          <w:szCs w:val="21"/>
          <w:lang w:val="en-US" w:eastAsia="zh-CN"/>
        </w:rPr>
        <w:t>乙方</w:t>
      </w:r>
      <w:r>
        <w:rPr>
          <w:color w:val="auto"/>
          <w:szCs w:val="21"/>
        </w:rPr>
        <w:t>：</w:t>
      </w:r>
      <w:r>
        <w:rPr>
          <w:rFonts w:hint="eastAsia"/>
          <w:color w:val="auto"/>
          <w:szCs w:val="21"/>
          <w:u w:val="single"/>
          <w:lang w:val="en-US" w:eastAsia="zh-CN"/>
        </w:rPr>
        <w:t xml:space="preserve">                              </w:t>
      </w:r>
      <w:r>
        <w:rPr>
          <w:rFonts w:hint="eastAsia"/>
          <w:color w:val="auto"/>
          <w:szCs w:val="21"/>
          <w:u w:val="single"/>
        </w:rPr>
        <w:t xml:space="preserve">    </w:t>
      </w:r>
    </w:p>
    <w:p w14:paraId="54A5906E">
      <w:pPr>
        <w:keepNext w:val="0"/>
        <w:keepLines w:val="0"/>
        <w:pageBreakBefore w:val="0"/>
        <w:kinsoku/>
        <w:wordWrap/>
        <w:overflowPunct/>
        <w:topLinePunct w:val="0"/>
        <w:autoSpaceDE/>
        <w:autoSpaceDN/>
        <w:bidi w:val="0"/>
        <w:snapToGrid/>
        <w:spacing w:line="420" w:lineRule="exact"/>
        <w:ind w:firstLine="420" w:firstLineChars="200"/>
        <w:textAlignment w:val="auto"/>
        <w:rPr>
          <w:rFonts w:ascii="宋体" w:hAnsi="宋体"/>
          <w:color w:val="auto"/>
          <w:szCs w:val="21"/>
        </w:rPr>
      </w:pPr>
    </w:p>
    <w:p w14:paraId="331FBCEC">
      <w:pPr>
        <w:tabs>
          <w:tab w:val="left" w:pos="1200"/>
        </w:tabs>
        <w:spacing w:line="360" w:lineRule="auto"/>
        <w:ind w:firstLine="420" w:firstLineChars="200"/>
        <w:rPr>
          <w:rFonts w:hint="eastAsia" w:ascii="宋体" w:hAnsi="宋体"/>
          <w:b w:val="0"/>
          <w:bCs/>
          <w:color w:val="auto"/>
          <w:szCs w:val="21"/>
        </w:rPr>
      </w:pPr>
      <w:r>
        <w:rPr>
          <w:rFonts w:hint="eastAsia" w:ascii="宋体" w:hAnsi="宋体"/>
          <w:b w:val="0"/>
          <w:bCs/>
          <w:color w:val="auto"/>
          <w:szCs w:val="21"/>
        </w:rPr>
        <w:t>鉴于甲方将水稻收割作业发包给乙方实施，为明确双方在作业期间的安全生产管理职责，保障作业人员及第三方人身财产安全，依据《中华人民共和国安全生产法》《中华人民共和国农业机械化促进法》《农业机械安全监督管理条例》《拖拉机和联合收割机登记规定》《拖拉机和联合收割机驾驶证管理规定》《联合收割机跨区作业管理办法》《中华人民共和国消防法》《中华人民共和国大气污染防治法》《生产安全事故报告和调查处理条例》《生产安全事故应急预案管理办法》《江苏省安全生产条例》及国家、行业现行标准规范，双方经平等协商，签订本协议。本协议为作业服务合同的附件，与合同具有同等法律效力。</w:t>
      </w:r>
    </w:p>
    <w:p w14:paraId="26BF4AFC">
      <w:pPr>
        <w:tabs>
          <w:tab w:val="left" w:pos="1200"/>
        </w:tabs>
        <w:spacing w:line="360" w:lineRule="auto"/>
        <w:ind w:firstLine="422" w:firstLineChars="200"/>
        <w:rPr>
          <w:rFonts w:hint="eastAsia" w:ascii="宋体" w:hAnsi="宋体"/>
          <w:b/>
          <w:color w:val="auto"/>
          <w:szCs w:val="21"/>
        </w:rPr>
      </w:pPr>
      <w:r>
        <w:rPr>
          <w:rFonts w:hint="eastAsia" w:ascii="宋体" w:hAnsi="宋体"/>
          <w:b/>
          <w:color w:val="auto"/>
          <w:szCs w:val="21"/>
        </w:rPr>
        <w:t>第一条  作业基本情况</w:t>
      </w:r>
    </w:p>
    <w:tbl>
      <w:tblPr>
        <w:tblStyle w:val="6"/>
        <w:tblW w:w="8614" w:type="dxa"/>
        <w:tblInd w:w="0" w:type="dxa"/>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1194"/>
        <w:gridCol w:w="3492"/>
        <w:gridCol w:w="1700"/>
        <w:gridCol w:w="2228"/>
      </w:tblGrid>
      <w:tr w14:paraId="48874E1E">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1194" w:type="dxa"/>
            <w:tcBorders>
              <w:top w:val="single" w:color="auto" w:sz="4" w:space="0"/>
              <w:left w:val="single" w:color="auto" w:sz="4" w:space="0"/>
              <w:bottom w:val="single" w:color="auto" w:sz="4" w:space="0"/>
              <w:right w:val="single" w:color="auto" w:sz="4" w:space="0"/>
            </w:tcBorders>
            <w:shd w:val="clear" w:color="auto" w:fill="auto"/>
          </w:tcPr>
          <w:p w14:paraId="0BFA7EDA">
            <w:pPr>
              <w:jc w:val="center"/>
              <w:rPr>
                <w:b w:val="0"/>
                <w:bCs w:val="0"/>
              </w:rPr>
            </w:pPr>
            <w:r>
              <w:rPr>
                <w:rFonts w:ascii="Times New Roman" w:hAnsi="Times New Roman" w:eastAsia="思源黑体" w:cs="Times New Roman"/>
                <w:b w:val="0"/>
                <w:bCs w:val="0"/>
              </w:rPr>
              <w:t>项目</w:t>
            </w:r>
          </w:p>
        </w:tc>
        <w:tc>
          <w:tcPr>
            <w:tcW w:w="3492" w:type="dxa"/>
            <w:tcBorders>
              <w:top w:val="single" w:color="auto" w:sz="4" w:space="0"/>
              <w:left w:val="single" w:color="auto" w:sz="4" w:space="0"/>
              <w:bottom w:val="single" w:color="auto" w:sz="4" w:space="0"/>
              <w:right w:val="single" w:color="auto" w:sz="4" w:space="0"/>
            </w:tcBorders>
            <w:shd w:val="clear" w:color="auto" w:fill="auto"/>
          </w:tcPr>
          <w:p w14:paraId="78CF1046">
            <w:pPr>
              <w:jc w:val="center"/>
              <w:rPr>
                <w:b w:val="0"/>
                <w:bCs w:val="0"/>
              </w:rPr>
            </w:pPr>
            <w:r>
              <w:rPr>
                <w:rFonts w:ascii="Times New Roman" w:hAnsi="Times New Roman" w:eastAsia="思源黑体" w:cs="Times New Roman"/>
                <w:b w:val="0"/>
                <w:bCs w:val="0"/>
              </w:rPr>
              <w:t>内容</w:t>
            </w:r>
          </w:p>
        </w:tc>
        <w:tc>
          <w:tcPr>
            <w:tcW w:w="1700" w:type="dxa"/>
            <w:tcBorders>
              <w:top w:val="single" w:color="auto" w:sz="4" w:space="0"/>
              <w:left w:val="single" w:color="auto" w:sz="4" w:space="0"/>
              <w:bottom w:val="single" w:color="auto" w:sz="4" w:space="0"/>
              <w:right w:val="single" w:color="auto" w:sz="4" w:space="0"/>
            </w:tcBorders>
            <w:shd w:val="clear" w:color="auto" w:fill="auto"/>
          </w:tcPr>
          <w:p w14:paraId="64BD7171">
            <w:pPr>
              <w:jc w:val="center"/>
              <w:rPr>
                <w:b w:val="0"/>
                <w:bCs w:val="0"/>
              </w:rPr>
            </w:pPr>
            <w:r>
              <w:rPr>
                <w:rFonts w:ascii="Times New Roman" w:hAnsi="Times New Roman" w:eastAsia="思源黑体" w:cs="Times New Roman"/>
                <w:b w:val="0"/>
                <w:bCs w:val="0"/>
              </w:rPr>
              <w:t>项目</w:t>
            </w:r>
          </w:p>
        </w:tc>
        <w:tc>
          <w:tcPr>
            <w:tcW w:w="2228" w:type="dxa"/>
            <w:tcBorders>
              <w:top w:val="single" w:color="auto" w:sz="4" w:space="0"/>
              <w:left w:val="single" w:color="auto" w:sz="4" w:space="0"/>
              <w:bottom w:val="single" w:color="auto" w:sz="4" w:space="0"/>
              <w:right w:val="single" w:color="auto" w:sz="4" w:space="0"/>
            </w:tcBorders>
            <w:shd w:val="clear" w:color="auto" w:fill="auto"/>
          </w:tcPr>
          <w:p w14:paraId="162BDD95">
            <w:pPr>
              <w:jc w:val="center"/>
              <w:rPr>
                <w:b w:val="0"/>
                <w:bCs w:val="0"/>
              </w:rPr>
            </w:pPr>
            <w:r>
              <w:rPr>
                <w:rFonts w:ascii="Times New Roman" w:hAnsi="Times New Roman" w:eastAsia="思源黑体" w:cs="Times New Roman"/>
                <w:b w:val="0"/>
                <w:bCs w:val="0"/>
              </w:rPr>
              <w:t>内容</w:t>
            </w:r>
          </w:p>
        </w:tc>
      </w:tr>
      <w:tr w14:paraId="5CC7BE25">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trHeight w:val="640" w:hRule="atLeast"/>
        </w:trPr>
        <w:tc>
          <w:tcPr>
            <w:tcW w:w="1194" w:type="dxa"/>
            <w:tcBorders>
              <w:top w:val="single" w:color="auto" w:sz="4" w:space="0"/>
              <w:left w:val="single" w:color="auto" w:sz="4" w:space="0"/>
              <w:bottom w:val="single" w:color="auto" w:sz="4" w:space="0"/>
              <w:right w:val="single" w:color="auto" w:sz="4" w:space="0"/>
            </w:tcBorders>
            <w:vAlign w:val="center"/>
          </w:tcPr>
          <w:p w14:paraId="4E923352">
            <w:pPr>
              <w:jc w:val="center"/>
              <w:rPr>
                <w:b w:val="0"/>
                <w:bCs w:val="0"/>
                <w:sz w:val="18"/>
                <w:szCs w:val="16"/>
              </w:rPr>
            </w:pPr>
            <w:r>
              <w:rPr>
                <w:rFonts w:ascii="Times New Roman" w:hAnsi="Times New Roman" w:eastAsia="思源黑体" w:cs="Times New Roman"/>
                <w:b w:val="0"/>
                <w:bCs w:val="0"/>
                <w:sz w:val="18"/>
                <w:szCs w:val="16"/>
              </w:rPr>
              <w:t>作业地点</w:t>
            </w:r>
          </w:p>
        </w:tc>
        <w:tc>
          <w:tcPr>
            <w:tcW w:w="3492" w:type="dxa"/>
            <w:tcBorders>
              <w:top w:val="single" w:color="auto" w:sz="4" w:space="0"/>
              <w:left w:val="single" w:color="auto" w:sz="4" w:space="0"/>
              <w:bottom w:val="single" w:color="auto" w:sz="4" w:space="0"/>
              <w:right w:val="single" w:color="auto" w:sz="4" w:space="0"/>
            </w:tcBorders>
            <w:vAlign w:val="center"/>
          </w:tcPr>
          <w:p w14:paraId="30BFC57F">
            <w:pPr>
              <w:jc w:val="both"/>
              <w:rPr>
                <w:b w:val="0"/>
                <w:bCs w:val="0"/>
                <w:sz w:val="18"/>
                <w:szCs w:val="16"/>
              </w:rPr>
            </w:pPr>
            <w:r>
              <w:rPr>
                <w:rFonts w:ascii="Times New Roman" w:hAnsi="Times New Roman" w:eastAsia="思源黑体" w:cs="Times New Roman"/>
                <w:b w:val="0"/>
                <w:bCs w:val="0"/>
                <w:sz w:val="18"/>
                <w:szCs w:val="16"/>
              </w:rPr>
              <w:t>（具体到田块/农场分区）</w:t>
            </w:r>
          </w:p>
        </w:tc>
        <w:tc>
          <w:tcPr>
            <w:tcW w:w="1700" w:type="dxa"/>
            <w:tcBorders>
              <w:top w:val="single" w:color="auto" w:sz="4" w:space="0"/>
              <w:left w:val="single" w:color="auto" w:sz="4" w:space="0"/>
              <w:bottom w:val="single" w:color="auto" w:sz="4" w:space="0"/>
              <w:right w:val="single" w:color="auto" w:sz="4" w:space="0"/>
            </w:tcBorders>
            <w:vAlign w:val="center"/>
          </w:tcPr>
          <w:p w14:paraId="2F3536AF">
            <w:pPr>
              <w:jc w:val="both"/>
              <w:rPr>
                <w:b w:val="0"/>
                <w:bCs w:val="0"/>
                <w:sz w:val="18"/>
                <w:szCs w:val="16"/>
              </w:rPr>
            </w:pPr>
            <w:r>
              <w:rPr>
                <w:rFonts w:ascii="Times New Roman" w:hAnsi="Times New Roman" w:eastAsia="思源黑体" w:cs="Times New Roman"/>
                <w:b w:val="0"/>
                <w:bCs w:val="0"/>
                <w:sz w:val="18"/>
                <w:szCs w:val="16"/>
              </w:rPr>
              <w:t>作业面积</w:t>
            </w:r>
          </w:p>
        </w:tc>
        <w:tc>
          <w:tcPr>
            <w:tcW w:w="2228" w:type="dxa"/>
            <w:tcBorders>
              <w:top w:val="single" w:color="auto" w:sz="4" w:space="0"/>
              <w:left w:val="single" w:color="auto" w:sz="4" w:space="0"/>
              <w:bottom w:val="single" w:color="auto" w:sz="4" w:space="0"/>
              <w:right w:val="single" w:color="auto" w:sz="4" w:space="0"/>
            </w:tcBorders>
            <w:vAlign w:val="center"/>
          </w:tcPr>
          <w:p w14:paraId="2CF08125">
            <w:pPr>
              <w:jc w:val="both"/>
              <w:rPr>
                <w:b w:val="0"/>
                <w:bCs w:val="0"/>
                <w:sz w:val="18"/>
                <w:szCs w:val="16"/>
              </w:rPr>
            </w:pPr>
            <w:r>
              <w:rPr>
                <w:rFonts w:ascii="Times New Roman" w:hAnsi="Times New Roman" w:eastAsia="思源黑体" w:cs="Times New Roman"/>
                <w:b w:val="0"/>
                <w:bCs w:val="0"/>
                <w:sz w:val="18"/>
                <w:szCs w:val="16"/>
              </w:rPr>
              <w:t xml:space="preserve">约 </w:t>
            </w:r>
            <w:r>
              <w:rPr>
                <w:rFonts w:hint="eastAsia" w:ascii="Times New Roman" w:hAnsi="Times New Roman" w:eastAsia="思源黑体" w:cs="Times New Roman"/>
                <w:b w:val="0"/>
                <w:bCs w:val="0"/>
                <w:sz w:val="18"/>
                <w:szCs w:val="16"/>
                <w:lang w:val="en-US" w:eastAsia="zh-CN"/>
              </w:rPr>
              <w:t xml:space="preserve">            </w:t>
            </w:r>
            <w:r>
              <w:rPr>
                <w:rFonts w:ascii="Times New Roman" w:hAnsi="Times New Roman" w:eastAsia="思源黑体" w:cs="Times New Roman"/>
                <w:b w:val="0"/>
                <w:bCs w:val="0"/>
                <w:sz w:val="18"/>
                <w:szCs w:val="16"/>
              </w:rPr>
              <w:t>亩</w:t>
            </w:r>
          </w:p>
        </w:tc>
      </w:tr>
      <w:tr w14:paraId="493ABF91">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1194" w:type="dxa"/>
            <w:tcBorders>
              <w:top w:val="single" w:color="auto" w:sz="4" w:space="0"/>
              <w:left w:val="single" w:color="auto" w:sz="4" w:space="0"/>
              <w:bottom w:val="single" w:color="auto" w:sz="4" w:space="0"/>
              <w:right w:val="single" w:color="auto" w:sz="4" w:space="0"/>
            </w:tcBorders>
            <w:vAlign w:val="center"/>
          </w:tcPr>
          <w:p w14:paraId="10139AA3">
            <w:pPr>
              <w:jc w:val="center"/>
              <w:rPr>
                <w:b w:val="0"/>
                <w:bCs w:val="0"/>
                <w:sz w:val="18"/>
                <w:szCs w:val="16"/>
              </w:rPr>
            </w:pPr>
            <w:r>
              <w:rPr>
                <w:rFonts w:ascii="Times New Roman" w:hAnsi="Times New Roman" w:eastAsia="思源黑体" w:cs="Times New Roman"/>
                <w:b w:val="0"/>
                <w:bCs w:val="0"/>
                <w:sz w:val="18"/>
                <w:szCs w:val="16"/>
              </w:rPr>
              <w:t>作业内容</w:t>
            </w:r>
          </w:p>
        </w:tc>
        <w:tc>
          <w:tcPr>
            <w:tcW w:w="3492" w:type="dxa"/>
            <w:tcBorders>
              <w:top w:val="single" w:color="auto" w:sz="4" w:space="0"/>
              <w:left w:val="single" w:color="auto" w:sz="4" w:space="0"/>
              <w:bottom w:val="single" w:color="auto" w:sz="4" w:space="0"/>
              <w:right w:val="single" w:color="auto" w:sz="4" w:space="0"/>
            </w:tcBorders>
            <w:vAlign w:val="center"/>
          </w:tcPr>
          <w:p w14:paraId="30E5DB96">
            <w:pPr>
              <w:jc w:val="both"/>
              <w:rPr>
                <w:b w:val="0"/>
                <w:bCs w:val="0"/>
                <w:sz w:val="18"/>
                <w:szCs w:val="16"/>
              </w:rPr>
            </w:pPr>
            <w:r>
              <w:rPr>
                <w:rFonts w:ascii="Times New Roman" w:hAnsi="Times New Roman" w:eastAsia="思源黑体" w:cs="Times New Roman"/>
                <w:b w:val="0"/>
                <w:bCs w:val="0"/>
                <w:sz w:val="18"/>
                <w:szCs w:val="16"/>
              </w:rPr>
              <w:t>水稻收割（含</w:t>
            </w:r>
            <w:r>
              <w:rPr>
                <w:rFonts w:hint="eastAsia" w:ascii="Times New Roman" w:hAnsi="Times New Roman" w:eastAsia="思源黑体" w:cs="Times New Roman"/>
                <w:b w:val="0"/>
                <w:bCs w:val="0"/>
                <w:sz w:val="18"/>
                <w:szCs w:val="16"/>
                <w:lang w:val="en-US" w:eastAsia="zh-CN"/>
              </w:rPr>
              <w:t>短途</w:t>
            </w:r>
            <w:r>
              <w:rPr>
                <w:rFonts w:ascii="Times New Roman" w:hAnsi="Times New Roman" w:eastAsia="思源黑体" w:cs="Times New Roman"/>
                <w:b w:val="0"/>
                <w:bCs w:val="0"/>
                <w:sz w:val="18"/>
                <w:szCs w:val="16"/>
              </w:rPr>
              <w:t>转运）</w:t>
            </w:r>
          </w:p>
        </w:tc>
        <w:tc>
          <w:tcPr>
            <w:tcW w:w="1700" w:type="dxa"/>
            <w:tcBorders>
              <w:top w:val="single" w:color="auto" w:sz="4" w:space="0"/>
              <w:left w:val="single" w:color="auto" w:sz="4" w:space="0"/>
              <w:bottom w:val="single" w:color="auto" w:sz="4" w:space="0"/>
              <w:right w:val="single" w:color="auto" w:sz="4" w:space="0"/>
            </w:tcBorders>
            <w:vAlign w:val="center"/>
          </w:tcPr>
          <w:p w14:paraId="7C72832C">
            <w:pPr>
              <w:jc w:val="both"/>
              <w:rPr>
                <w:b w:val="0"/>
                <w:bCs w:val="0"/>
                <w:sz w:val="18"/>
                <w:szCs w:val="16"/>
              </w:rPr>
            </w:pPr>
            <w:r>
              <w:rPr>
                <w:rFonts w:ascii="Times New Roman" w:hAnsi="Times New Roman" w:eastAsia="思源黑体" w:cs="Times New Roman"/>
                <w:b w:val="0"/>
                <w:bCs w:val="0"/>
                <w:sz w:val="18"/>
                <w:szCs w:val="16"/>
              </w:rPr>
              <w:t>投入机具</w:t>
            </w:r>
          </w:p>
        </w:tc>
        <w:tc>
          <w:tcPr>
            <w:tcW w:w="2228" w:type="dxa"/>
            <w:tcBorders>
              <w:top w:val="single" w:color="auto" w:sz="4" w:space="0"/>
              <w:left w:val="single" w:color="auto" w:sz="4" w:space="0"/>
              <w:bottom w:val="single" w:color="auto" w:sz="4" w:space="0"/>
              <w:right w:val="single" w:color="auto" w:sz="4" w:space="0"/>
            </w:tcBorders>
            <w:vAlign w:val="center"/>
          </w:tcPr>
          <w:p w14:paraId="26275B46">
            <w:pPr>
              <w:jc w:val="both"/>
              <w:rPr>
                <w:rFonts w:ascii="Times New Roman" w:hAnsi="Times New Roman" w:eastAsia="思源黑体" w:cs="Times New Roman"/>
                <w:b w:val="0"/>
                <w:bCs w:val="0"/>
                <w:sz w:val="18"/>
                <w:szCs w:val="16"/>
              </w:rPr>
            </w:pPr>
            <w:r>
              <w:rPr>
                <w:rFonts w:ascii="Times New Roman" w:hAnsi="Times New Roman" w:eastAsia="思源黑体" w:cs="Times New Roman"/>
                <w:b w:val="0"/>
                <w:bCs w:val="0"/>
                <w:sz w:val="18"/>
                <w:szCs w:val="16"/>
              </w:rPr>
              <w:t xml:space="preserve">联合收割机 </w:t>
            </w:r>
            <w:r>
              <w:rPr>
                <w:rFonts w:hint="eastAsia" w:ascii="Times New Roman" w:hAnsi="Times New Roman" w:eastAsia="思源黑体" w:cs="Times New Roman"/>
                <w:b w:val="0"/>
                <w:bCs w:val="0"/>
                <w:sz w:val="18"/>
                <w:szCs w:val="16"/>
                <w:lang w:val="en-US" w:eastAsia="zh-CN"/>
              </w:rPr>
              <w:t xml:space="preserve">     </w:t>
            </w:r>
            <w:r>
              <w:rPr>
                <w:rFonts w:ascii="Times New Roman" w:hAnsi="Times New Roman" w:eastAsia="思源黑体" w:cs="Times New Roman"/>
                <w:b w:val="0"/>
                <w:bCs w:val="0"/>
                <w:sz w:val="18"/>
                <w:szCs w:val="16"/>
              </w:rPr>
              <w:t>台</w:t>
            </w:r>
          </w:p>
          <w:p w14:paraId="44C4D95C">
            <w:pPr>
              <w:jc w:val="both"/>
              <w:rPr>
                <w:rFonts w:ascii="Times New Roman" w:hAnsi="Times New Roman" w:eastAsia="思源黑体" w:cs="Times New Roman"/>
                <w:b w:val="0"/>
                <w:bCs w:val="0"/>
                <w:sz w:val="18"/>
                <w:szCs w:val="16"/>
              </w:rPr>
            </w:pPr>
            <w:r>
              <w:rPr>
                <w:rFonts w:hint="eastAsia" w:ascii="Times New Roman" w:hAnsi="Times New Roman" w:eastAsia="思源黑体" w:cs="Times New Roman"/>
                <w:b w:val="0"/>
                <w:bCs w:val="0"/>
                <w:sz w:val="18"/>
                <w:szCs w:val="16"/>
                <w:lang w:val="en-US" w:eastAsia="zh-CN"/>
              </w:rPr>
              <w:t>短途</w:t>
            </w:r>
            <w:r>
              <w:rPr>
                <w:rFonts w:ascii="Times New Roman" w:hAnsi="Times New Roman" w:eastAsia="思源黑体" w:cs="Times New Roman"/>
                <w:b w:val="0"/>
                <w:bCs w:val="0"/>
                <w:sz w:val="18"/>
                <w:szCs w:val="16"/>
              </w:rPr>
              <w:t>转运</w:t>
            </w:r>
            <w:r>
              <w:rPr>
                <w:rFonts w:hint="eastAsia" w:eastAsia="思源黑体" w:cs="Times New Roman"/>
                <w:b w:val="0"/>
                <w:bCs w:val="0"/>
                <w:sz w:val="18"/>
                <w:szCs w:val="16"/>
                <w:lang w:val="en-US" w:eastAsia="zh-CN"/>
              </w:rPr>
              <w:t xml:space="preserve">      </w:t>
            </w:r>
            <w:r>
              <w:rPr>
                <w:rFonts w:ascii="Times New Roman" w:hAnsi="Times New Roman" w:eastAsia="思源黑体" w:cs="Times New Roman"/>
                <w:b w:val="0"/>
                <w:bCs w:val="0"/>
                <w:sz w:val="18"/>
                <w:szCs w:val="16"/>
              </w:rPr>
              <w:t>台</w:t>
            </w:r>
          </w:p>
        </w:tc>
      </w:tr>
      <w:tr w14:paraId="32F002D2">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trHeight w:val="641" w:hRule="atLeast"/>
        </w:trPr>
        <w:tc>
          <w:tcPr>
            <w:tcW w:w="1194" w:type="dxa"/>
            <w:tcBorders>
              <w:top w:val="single" w:color="auto" w:sz="4" w:space="0"/>
              <w:left w:val="single" w:color="auto" w:sz="4" w:space="0"/>
              <w:bottom w:val="single" w:color="auto" w:sz="4" w:space="0"/>
              <w:right w:val="single" w:color="auto" w:sz="4" w:space="0"/>
            </w:tcBorders>
            <w:vAlign w:val="center"/>
          </w:tcPr>
          <w:p w14:paraId="2A8843D4">
            <w:pPr>
              <w:jc w:val="center"/>
              <w:rPr>
                <w:b w:val="0"/>
                <w:bCs w:val="0"/>
                <w:sz w:val="18"/>
                <w:szCs w:val="16"/>
              </w:rPr>
            </w:pPr>
            <w:r>
              <w:rPr>
                <w:rFonts w:ascii="Times New Roman" w:hAnsi="Times New Roman" w:eastAsia="思源黑体" w:cs="Times New Roman"/>
                <w:b w:val="0"/>
                <w:bCs w:val="0"/>
                <w:sz w:val="18"/>
                <w:szCs w:val="16"/>
              </w:rPr>
              <w:t>作业期限</w:t>
            </w:r>
          </w:p>
        </w:tc>
        <w:tc>
          <w:tcPr>
            <w:tcW w:w="3492" w:type="dxa"/>
            <w:tcBorders>
              <w:top w:val="single" w:color="auto" w:sz="4" w:space="0"/>
              <w:left w:val="single" w:color="auto" w:sz="4" w:space="0"/>
              <w:bottom w:val="single" w:color="auto" w:sz="4" w:space="0"/>
              <w:right w:val="single" w:color="auto" w:sz="4" w:space="0"/>
            </w:tcBorders>
            <w:vAlign w:val="center"/>
          </w:tcPr>
          <w:p w14:paraId="22B8CC70">
            <w:pPr>
              <w:jc w:val="both"/>
              <w:rPr>
                <w:b w:val="0"/>
                <w:bCs w:val="0"/>
                <w:sz w:val="18"/>
                <w:szCs w:val="16"/>
              </w:rPr>
            </w:pPr>
          </w:p>
        </w:tc>
        <w:tc>
          <w:tcPr>
            <w:tcW w:w="1700" w:type="dxa"/>
            <w:tcBorders>
              <w:top w:val="single" w:color="auto" w:sz="4" w:space="0"/>
              <w:left w:val="single" w:color="auto" w:sz="4" w:space="0"/>
              <w:bottom w:val="single" w:color="auto" w:sz="4" w:space="0"/>
              <w:right w:val="single" w:color="auto" w:sz="4" w:space="0"/>
            </w:tcBorders>
            <w:vAlign w:val="center"/>
          </w:tcPr>
          <w:p w14:paraId="07A76E6C">
            <w:pPr>
              <w:jc w:val="both"/>
              <w:rPr>
                <w:b w:val="0"/>
                <w:bCs w:val="0"/>
                <w:sz w:val="18"/>
                <w:szCs w:val="16"/>
              </w:rPr>
            </w:pPr>
            <w:r>
              <w:rPr>
                <w:rFonts w:ascii="Times New Roman" w:hAnsi="Times New Roman" w:eastAsia="思源黑体" w:cs="Times New Roman"/>
                <w:b w:val="0"/>
                <w:bCs w:val="0"/>
                <w:sz w:val="18"/>
                <w:szCs w:val="16"/>
              </w:rPr>
              <w:t>作业价格</w:t>
            </w:r>
          </w:p>
        </w:tc>
        <w:tc>
          <w:tcPr>
            <w:tcW w:w="2228" w:type="dxa"/>
            <w:tcBorders>
              <w:top w:val="single" w:color="auto" w:sz="4" w:space="0"/>
              <w:left w:val="single" w:color="auto" w:sz="4" w:space="0"/>
              <w:bottom w:val="single" w:color="auto" w:sz="4" w:space="0"/>
              <w:right w:val="single" w:color="auto" w:sz="4" w:space="0"/>
            </w:tcBorders>
            <w:vAlign w:val="center"/>
          </w:tcPr>
          <w:p w14:paraId="1EAA5F1D">
            <w:pPr>
              <w:jc w:val="both"/>
              <w:rPr>
                <w:b w:val="0"/>
                <w:bCs w:val="0"/>
                <w:sz w:val="18"/>
                <w:szCs w:val="16"/>
              </w:rPr>
            </w:pPr>
            <w:r>
              <w:rPr>
                <w:rFonts w:ascii="Times New Roman" w:hAnsi="Times New Roman" w:eastAsia="思源黑体" w:cs="Times New Roman"/>
                <w:b w:val="0"/>
                <w:bCs w:val="0"/>
                <w:sz w:val="18"/>
                <w:szCs w:val="16"/>
              </w:rPr>
              <w:t>按主合同约定</w:t>
            </w:r>
          </w:p>
        </w:tc>
      </w:tr>
      <w:tr w14:paraId="05AA55D0">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1194" w:type="dxa"/>
            <w:tcBorders>
              <w:top w:val="single" w:color="auto" w:sz="4" w:space="0"/>
              <w:left w:val="single" w:color="auto" w:sz="4" w:space="0"/>
              <w:bottom w:val="single" w:color="auto" w:sz="4" w:space="0"/>
              <w:right w:val="single" w:color="auto" w:sz="4" w:space="0"/>
            </w:tcBorders>
            <w:vAlign w:val="center"/>
          </w:tcPr>
          <w:p w14:paraId="0694471F">
            <w:pPr>
              <w:jc w:val="center"/>
              <w:rPr>
                <w:b w:val="0"/>
                <w:bCs w:val="0"/>
                <w:sz w:val="18"/>
                <w:szCs w:val="16"/>
              </w:rPr>
            </w:pPr>
            <w:r>
              <w:rPr>
                <w:rFonts w:ascii="Times New Roman" w:hAnsi="Times New Roman" w:eastAsia="思源黑体" w:cs="Times New Roman"/>
                <w:b w:val="0"/>
                <w:bCs w:val="0"/>
                <w:sz w:val="18"/>
                <w:szCs w:val="16"/>
              </w:rPr>
              <w:t>乙方进场前提交</w:t>
            </w:r>
          </w:p>
        </w:tc>
        <w:tc>
          <w:tcPr>
            <w:tcW w:w="3492" w:type="dxa"/>
            <w:tcBorders>
              <w:top w:val="single" w:color="auto" w:sz="4" w:space="0"/>
              <w:left w:val="single" w:color="auto" w:sz="4" w:space="0"/>
              <w:bottom w:val="single" w:color="auto" w:sz="4" w:space="0"/>
              <w:right w:val="single" w:color="auto" w:sz="4" w:space="0"/>
            </w:tcBorders>
          </w:tcPr>
          <w:p w14:paraId="6DA533CC">
            <w:pPr>
              <w:rPr>
                <w:b w:val="0"/>
                <w:bCs w:val="0"/>
                <w:sz w:val="18"/>
                <w:szCs w:val="16"/>
              </w:rPr>
            </w:pPr>
            <w:r>
              <w:rPr>
                <w:rFonts w:ascii="Times New Roman" w:hAnsi="Times New Roman" w:eastAsia="思源黑体" w:cs="Times New Roman"/>
                <w:b w:val="0"/>
                <w:bCs w:val="0"/>
                <w:sz w:val="18"/>
                <w:szCs w:val="16"/>
              </w:rPr>
              <w:t>营业执照、机具牌证、驾驶证、保险单、作业人员名册</w:t>
            </w:r>
          </w:p>
        </w:tc>
        <w:tc>
          <w:tcPr>
            <w:tcW w:w="3928" w:type="dxa"/>
            <w:gridSpan w:val="2"/>
            <w:tcBorders>
              <w:top w:val="single" w:color="auto" w:sz="4" w:space="0"/>
              <w:left w:val="single" w:color="auto" w:sz="4" w:space="0"/>
              <w:bottom w:val="single" w:color="auto" w:sz="4" w:space="0"/>
              <w:right w:val="single" w:color="auto" w:sz="4" w:space="0"/>
            </w:tcBorders>
            <w:vAlign w:val="bottom"/>
          </w:tcPr>
          <w:p w14:paraId="095E1A0F">
            <w:pPr>
              <w:jc w:val="left"/>
              <w:rPr>
                <w:rFonts w:hint="eastAsia" w:eastAsia="思源黑体"/>
                <w:b w:val="0"/>
                <w:bCs w:val="0"/>
                <w:sz w:val="18"/>
                <w:szCs w:val="16"/>
                <w:lang w:eastAsia="zh-CN"/>
              </w:rPr>
            </w:pPr>
            <w:r>
              <w:rPr>
                <w:rFonts w:ascii="Times New Roman" w:hAnsi="Times New Roman" w:eastAsia="思源黑体" w:cs="Times New Roman"/>
                <w:b w:val="0"/>
                <w:bCs w:val="0"/>
                <w:sz w:val="18"/>
                <w:szCs w:val="16"/>
              </w:rPr>
              <w:t>甲方联系人</w:t>
            </w:r>
            <w:r>
              <w:rPr>
                <w:rFonts w:hint="eastAsia" w:ascii="Times New Roman" w:hAnsi="Times New Roman" w:eastAsia="思源黑体" w:cs="Times New Roman"/>
                <w:b w:val="0"/>
                <w:bCs w:val="0"/>
                <w:sz w:val="18"/>
                <w:szCs w:val="16"/>
                <w:lang w:eastAsia="zh-CN"/>
              </w:rPr>
              <w:t>：</w:t>
            </w:r>
            <w:r>
              <w:rPr>
                <w:rFonts w:hint="eastAsia" w:eastAsia="思源黑体" w:cs="Times New Roman"/>
                <w:b w:val="0"/>
                <w:bCs w:val="0"/>
                <w:sz w:val="18"/>
                <w:szCs w:val="16"/>
                <w:lang w:val="en-US" w:eastAsia="zh-CN"/>
              </w:rPr>
              <w:t xml:space="preserve">            </w:t>
            </w:r>
            <w:r>
              <w:rPr>
                <w:rFonts w:ascii="Times New Roman" w:hAnsi="Times New Roman" w:eastAsia="思源黑体" w:cs="Times New Roman"/>
                <w:b w:val="0"/>
                <w:bCs w:val="0"/>
                <w:sz w:val="18"/>
                <w:szCs w:val="16"/>
              </w:rPr>
              <w:t>电话</w:t>
            </w:r>
            <w:r>
              <w:rPr>
                <w:rFonts w:hint="eastAsia" w:eastAsia="思源黑体" w:cs="Times New Roman"/>
                <w:b w:val="0"/>
                <w:bCs w:val="0"/>
                <w:sz w:val="18"/>
                <w:szCs w:val="16"/>
                <w:lang w:val="en-US" w:eastAsia="zh-CN"/>
              </w:rPr>
              <w:t xml:space="preserve"> </w:t>
            </w:r>
          </w:p>
        </w:tc>
      </w:tr>
    </w:tbl>
    <w:p w14:paraId="2A38F93F">
      <w:pPr>
        <w:tabs>
          <w:tab w:val="left" w:pos="1200"/>
        </w:tabs>
        <w:spacing w:line="360" w:lineRule="auto"/>
        <w:ind w:firstLine="420" w:firstLineChars="200"/>
        <w:rPr>
          <w:rFonts w:hint="eastAsia" w:ascii="宋体" w:hAnsi="宋体"/>
          <w:b w:val="0"/>
          <w:bCs/>
          <w:color w:val="auto"/>
          <w:szCs w:val="21"/>
        </w:rPr>
      </w:pPr>
      <w:r>
        <w:rPr>
          <w:rFonts w:hint="eastAsia" w:ascii="宋体" w:hAnsi="宋体"/>
          <w:b w:val="0"/>
          <w:bCs/>
          <w:color w:val="auto"/>
          <w:szCs w:val="21"/>
        </w:rPr>
        <w:t>作业地点、面积、期限以主作业服务合同为准；主合同未约定或约定不明的，以甲方书面通知为准。乙方不得超出约定范围作业。</w:t>
      </w:r>
    </w:p>
    <w:p w14:paraId="3B3EF503">
      <w:pPr>
        <w:tabs>
          <w:tab w:val="left" w:pos="1200"/>
        </w:tabs>
        <w:spacing w:line="360" w:lineRule="auto"/>
        <w:ind w:firstLine="422" w:firstLineChars="200"/>
        <w:rPr>
          <w:rFonts w:hint="eastAsia" w:ascii="宋体" w:hAnsi="宋体"/>
          <w:b/>
          <w:color w:val="auto"/>
          <w:szCs w:val="21"/>
        </w:rPr>
      </w:pPr>
      <w:r>
        <w:rPr>
          <w:rFonts w:hint="eastAsia" w:ascii="宋体" w:hAnsi="宋体"/>
          <w:b/>
          <w:color w:val="auto"/>
          <w:szCs w:val="21"/>
        </w:rPr>
        <w:t>第二条  甲方的权利与义务</w:t>
      </w:r>
    </w:p>
    <w:p w14:paraId="053EE7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审查乙方资质。甲方有权审查乙方的营业执照、联合收割机号牌与行驶证、安全技术检验合格证明、驾驶操作人员驾驶证、保险凭证及跨区作业证明；发现不完整、虚假或失效的，有权要求乙方停止进场作业并限期整改。</w:t>
      </w:r>
    </w:p>
    <w:p w14:paraId="08AFCE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统一协调、管理。甲方对乙方的安全生产工作统一协调、管理，定期组织安全检查，发现安全问题及时督促整改；对同一作业区域内存在多方作业、可能危及对方安全的，组织签订交叉作业安全协议并指定专人协调。</w:t>
      </w:r>
    </w:p>
    <w:p w14:paraId="5DEA7C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书面安全交底。作业前，甲方应向乙方书面告知作业地块的基本情况与安全注意事项，包括：田间沟渠、灌溉设施、机井、暗渠、坑塘与障碍物位置，田间及地头架空电力线路走向与电压等级，地下管线、田间道路与桥涵的承载能力、限高限宽，以及危险区域、禁止进入区域。交底应形成《作业安全交底单》并经双方签字确认，存档备查。</w:t>
      </w:r>
    </w:p>
    <w:p w14:paraId="0FA1D4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4.提供作业条件。甲方应保证交付作业的田块具备基本作业条件，对已知可能影响安全的情形主动提示；因甲方隐瞒或未提示已知危险导致事故的，甲方承担相应责任。</w:t>
      </w:r>
    </w:p>
    <w:p w14:paraId="4A62D5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5.制止违章。甲方管理人员有权制止乙方人员的违章、违纪作业行为；情节严重的，有权要求乙方更换人员或机具、暂停作业。</w:t>
      </w:r>
    </w:p>
    <w:p w14:paraId="747428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6.协调与报告。甲方应协调解决乙方提出的安全生产问题；发现乙方存在安全生产违法行为且拒不改正的，及时向负有安全生产监督管理职责的部门报告。</w:t>
      </w:r>
    </w:p>
    <w:p w14:paraId="71BE7F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7.甲方不得违章指挥、强令乙方冒险作业；不得要求乙方在雷雨、大风、暴雨等恶劣天气或不符合安全条件的情形下作业。</w:t>
      </w:r>
    </w:p>
    <w:p w14:paraId="49B583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8.发生事故时，甲方应立即启动本级应急响应，组织救援，配合事故调查，并按规定向有关部门报告。</w:t>
      </w:r>
    </w:p>
    <w:p w14:paraId="2B5605E1">
      <w:pPr>
        <w:tabs>
          <w:tab w:val="left" w:pos="1200"/>
        </w:tabs>
        <w:spacing w:line="360" w:lineRule="auto"/>
        <w:ind w:firstLine="422" w:firstLineChars="200"/>
        <w:rPr>
          <w:rFonts w:hint="eastAsia" w:ascii="宋体" w:hAnsi="宋体"/>
          <w:b/>
          <w:color w:val="auto"/>
          <w:szCs w:val="21"/>
        </w:rPr>
      </w:pPr>
      <w:r>
        <w:rPr>
          <w:rFonts w:hint="eastAsia" w:ascii="宋体" w:hAnsi="宋体"/>
          <w:b/>
          <w:color w:val="auto"/>
          <w:szCs w:val="21"/>
        </w:rPr>
        <w:t>第三条  乙方的资质、机具与人员要求</w:t>
      </w:r>
    </w:p>
    <w:p w14:paraId="709A70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9.乙方应具备与承揽作业相适应的经营主体资格和安全生产条件，对提交的资质证明材料的真实性、完整性、有效性负责。</w:t>
      </w:r>
    </w:p>
    <w:p w14:paraId="3C4A40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10.投入作业的联合收割机应当依法取得号牌、行驶证（登记证书），悬挂牌照，并通过安全技术检验；严禁使用未登记、未检验、检验不合格、安全设施不全、机件失效以及非法改装、拼装的机具；严禁伪造、变造、转借、套用牌证。</w:t>
      </w:r>
    </w:p>
    <w:p w14:paraId="08DB11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11.联合收割机驾驶操作人员应当取得与机型相符的《拖拉机和联合收割机驾驶证》（轮式联合收割机代号 R，履带式联合收割机代号 S），证件在有效期内；年龄须在 18 周岁以上、70 周岁以下。严禁无证、证件失效或驾驶与准驾机型不符的机具。</w:t>
      </w:r>
    </w:p>
    <w:p w14:paraId="3857A3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12.参加跨区作业的，应当按规定申领《联合收割机插秧机跨区作业证》，一机一证，随机携带，不得涂改、转借、倒卖。</w:t>
      </w:r>
    </w:p>
    <w:p w14:paraId="320AAC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13.</w:t>
      </w:r>
      <w:r>
        <w:rPr>
          <w:rFonts w:hint="eastAsia"/>
          <w:b/>
          <w:bCs/>
        </w:rPr>
        <w:t>乙方应在进场前 3 日向甲方提交下列材料备案：营业执照复印件、机具清单及牌证复印件、安全技术检验合格证明、驾驶操作人员驾驶证复印件及人员名册、保险单复印件、安全培训记录。人员或机具变更的，应提前报甲方备案，未备案不得进场。</w:t>
      </w:r>
    </w:p>
    <w:p w14:paraId="733327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14.乙方应配备现场安全负责人，建立健全安全生产管理制度和各机型安全操作规程，落实安全生产责任，对从业人员进行安全教育、技术交底和班前提示，并保存记录备查。</w:t>
      </w:r>
    </w:p>
    <w:p w14:paraId="287FF6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15.驾驶操作人员及辅助作业人员不得酒后、服用管制药品后作业，不得疲劳作业、带病作业；连续作业不得超过约定工时，夜间作业应保证照明并合理安排轮换。</w:t>
      </w:r>
    </w:p>
    <w:p w14:paraId="12D68B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16.严禁违法载人、人货混装；接粮人员、辅助人员应在指定安全位置作业，与机具保持安全距离。</w:t>
      </w:r>
    </w:p>
    <w:p w14:paraId="05012955">
      <w:pPr>
        <w:tabs>
          <w:tab w:val="left" w:pos="1200"/>
        </w:tabs>
        <w:spacing w:line="360" w:lineRule="auto"/>
        <w:ind w:firstLine="422" w:firstLineChars="200"/>
        <w:rPr>
          <w:rFonts w:hint="eastAsia" w:ascii="宋体" w:hAnsi="宋体"/>
          <w:b/>
          <w:color w:val="auto"/>
          <w:szCs w:val="21"/>
        </w:rPr>
      </w:pPr>
      <w:r>
        <w:rPr>
          <w:rFonts w:hint="eastAsia" w:ascii="宋体" w:hAnsi="宋体"/>
          <w:b/>
          <w:color w:val="auto"/>
          <w:szCs w:val="21"/>
        </w:rPr>
        <w:t>第四条  现场作业安全要求</w:t>
      </w:r>
    </w:p>
    <w:p w14:paraId="47D21D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17.作业前勘查。每块田作业前，乙方应勘查现场，查明并避开高压电线、电杆拉线、沟渠、机井、石块及其他障碍物，确认作业区内无闲杂人员、无人休息或逗留；对不能清除的障碍物设置明显警示标志。</w:t>
      </w:r>
    </w:p>
    <w:p w14:paraId="178E07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18.机具检查。每日作业前应对制动、转向、照明、燃油系统、割台、传动部位防护罩、灭火器等进行安全检查，确认完好后方可作业；严禁私自拆卸、停用安全防护装置。</w:t>
      </w:r>
    </w:p>
    <w:p w14:paraId="3E91B7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19.停机处置。加注燃油、清理堵塞、排除故障、调整或保养机具，必须停机、熄火并拔除钥匙后进行；严禁用手或肢体伸入运转部位；严禁在机具运转时攀爬、跨跳。</w:t>
      </w:r>
    </w:p>
    <w:p w14:paraId="69DF778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rPr>
      </w:pPr>
      <w:r>
        <w:rPr>
          <w:rFonts w:hint="eastAsia"/>
          <w:b/>
          <w:bCs/>
        </w:rPr>
        <w:t>20.</w:t>
      </w:r>
      <w:r>
        <w:rPr>
          <w:rFonts w:hint="eastAsia" w:eastAsia="宋体"/>
          <w:b/>
          <w:bCs/>
        </w:rPr>
        <w:t>作业秩序。作业前需对收割区域进行隔离，非作业人员不得进入作业区</w:t>
      </w:r>
      <w:r>
        <w:rPr>
          <w:rFonts w:hint="eastAsia" w:eastAsia="宋体"/>
          <w:b/>
          <w:bCs/>
          <w:lang w:eastAsia="zh-CN"/>
        </w:rPr>
        <w:t>；</w:t>
      </w:r>
      <w:r>
        <w:rPr>
          <w:rFonts w:hint="eastAsia" w:eastAsia="宋体"/>
          <w:b/>
          <w:bCs/>
        </w:rPr>
        <w:t>在区域周边布置安全警示标识、旗帜、横幅等营造浓厚安全氛围</w:t>
      </w:r>
      <w:r>
        <w:rPr>
          <w:rFonts w:hint="eastAsia" w:eastAsia="宋体"/>
          <w:b/>
          <w:bCs/>
          <w:lang w:eastAsia="zh-CN"/>
        </w:rPr>
        <w:t>；</w:t>
      </w:r>
      <w:r>
        <w:rPr>
          <w:rFonts w:hint="eastAsia" w:eastAsia="宋体"/>
          <w:b/>
          <w:bCs/>
        </w:rPr>
        <w:t>收割区域全程设置专人开展现场监督</w:t>
      </w:r>
      <w:r>
        <w:rPr>
          <w:rFonts w:hint="eastAsia" w:eastAsia="宋体"/>
          <w:b/>
          <w:bCs/>
          <w:lang w:eastAsia="zh-CN"/>
        </w:rPr>
        <w:t>；</w:t>
      </w:r>
      <w:r>
        <w:rPr>
          <w:rFonts w:hint="eastAsia" w:eastAsia="宋体"/>
          <w:b/>
          <w:bCs/>
        </w:rPr>
        <w:t>作业时收割机上除驾驶操作人员外不得站人</w:t>
      </w:r>
      <w:r>
        <w:rPr>
          <w:rFonts w:hint="eastAsia" w:eastAsia="宋体"/>
          <w:b/>
          <w:bCs/>
          <w:lang w:eastAsia="zh-CN"/>
        </w:rPr>
        <w:t>，</w:t>
      </w:r>
      <w:r>
        <w:rPr>
          <w:rFonts w:hint="eastAsia" w:eastAsia="宋体"/>
          <w:b/>
          <w:bCs/>
        </w:rPr>
        <w:t>倒车、转弯前应确认周边无人员</w:t>
      </w:r>
      <w:r>
        <w:rPr>
          <w:rFonts w:hint="eastAsia" w:eastAsia="宋体"/>
          <w:b/>
          <w:bCs/>
          <w:lang w:eastAsia="zh-CN"/>
        </w:rPr>
        <w:t>，</w:t>
      </w:r>
      <w:r>
        <w:rPr>
          <w:rFonts w:hint="eastAsia" w:eastAsia="宋体"/>
          <w:b/>
          <w:bCs/>
        </w:rPr>
        <w:t>地头转弯、田块转移应减速瞭望。</w:t>
      </w:r>
    </w:p>
    <w:p w14:paraId="56DAE3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21.田间与道路转移。机具在田间转移应注意沟渠、田埂、坡道；上道路行驶应当遵守道路交通安全法律法规，悬挂牌照、携带证件，禁止进入高速公路、城市快速路；运输车辆车货总重、外廓尺寸超限的，应依法办理超限运输许可。</w:t>
      </w:r>
    </w:p>
    <w:p w14:paraId="5F33FC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22.防火防爆。作业现场严禁吸烟、严禁明火；每台联合收割机应随车配备有效灭火器（不少于 1 具，容量不低于 4kg）；及时清理发动机、排气管、割台及机体上的积尘、草屑、油污；严禁露天焚烧秸秆。</w:t>
      </w:r>
    </w:p>
    <w:p w14:paraId="270C5B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23.燃油管理。燃油应使用专用容器盛装，存放于阴凉通风处并远离火源、远离人员休息区；不得在田间大量存放燃油；加油时严禁烟火、严禁拨打接听手机。</w:t>
      </w:r>
    </w:p>
    <w:p w14:paraId="6E2DF3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24.临时用电。夜间作业照明、维修用电等临时用电应使用符合国家标准的电器和电缆，规范敷设，安装漏电保护器，做好接地（接零）保护，严禁私拉乱接。</w:t>
      </w:r>
    </w:p>
    <w:p w14:paraId="658505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25.恶劣天气。遇雷雨、大风、暴雨、台风等恶劣天气，应立即停止作业，将机具转移至安全地带，人员撤离危险区域，并做好防雨、防雷、防倾覆措施；雨后应对田块积水、塌陷、路面承载力重新确认后方可复工。</w:t>
      </w:r>
    </w:p>
    <w:p w14:paraId="1D5C3C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26.高温防护。高温时段应合理安排作息，配备防暑降温饮品和药品，预防中暑；作业人员出现不适应立即停止作业并处置。</w:t>
      </w:r>
    </w:p>
    <w:p w14:paraId="1745CA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27.秸秆与遗留物。按约定处理秸秆、稻草，不得违规露天焚烧；作业结束后及时清理现场遗留物，保持田间及道路整洁，不得堵塞沟渠和道路。</w:t>
      </w:r>
    </w:p>
    <w:p w14:paraId="0EBF9E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28.乙方不得擅自将作业转包、分包给不具备相应资质和安全生产条件的单位或个人；确需分包或者组织其他机具加入作业的，应事先取得甲方书面同意，并由乙方统一承担安全管理责任。</w:t>
      </w:r>
    </w:p>
    <w:p w14:paraId="72E0508A">
      <w:pPr>
        <w:tabs>
          <w:tab w:val="left" w:pos="1200"/>
        </w:tabs>
        <w:spacing w:line="360" w:lineRule="auto"/>
        <w:ind w:firstLine="422" w:firstLineChars="200"/>
        <w:rPr>
          <w:rFonts w:hint="eastAsia" w:ascii="宋体" w:hAnsi="宋体"/>
          <w:b/>
          <w:color w:val="auto"/>
          <w:szCs w:val="21"/>
        </w:rPr>
      </w:pPr>
      <w:r>
        <w:rPr>
          <w:rFonts w:hint="eastAsia" w:ascii="宋体" w:hAnsi="宋体"/>
          <w:b/>
          <w:color w:val="auto"/>
          <w:szCs w:val="21"/>
        </w:rPr>
        <w:t>第</w:t>
      </w:r>
      <w:r>
        <w:rPr>
          <w:rFonts w:hint="eastAsia" w:ascii="宋体" w:hAnsi="宋体"/>
          <w:b/>
          <w:color w:val="auto"/>
          <w:szCs w:val="21"/>
          <w:lang w:val="en-US" w:eastAsia="zh-CN"/>
        </w:rPr>
        <w:t>五</w:t>
      </w:r>
      <w:r>
        <w:rPr>
          <w:rFonts w:hint="eastAsia" w:ascii="宋体" w:hAnsi="宋体"/>
          <w:b/>
          <w:color w:val="auto"/>
          <w:szCs w:val="21"/>
        </w:rPr>
        <w:t>条  保险</w:t>
      </w:r>
    </w:p>
    <w:p w14:paraId="569A79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 乙方应当依法为其从业人员参加工伤保险并足额缴费，不得以商业保险替代；季节性用工、临时聘用人员应一并纳入。</w:t>
      </w:r>
    </w:p>
    <w:p w14:paraId="2DFAA7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 乙方投入作业的拖拉机、联合收割机应当投保政策性农业机械综合保险（含农业机械损失保险、第三者责任保险、操作人员责任保险），并保持保单在作业期间持续有效；鼓励为驾驶操作人员及辅助人员补充投保人身意外伤害保险。</w:t>
      </w:r>
    </w:p>
    <w:p w14:paraId="5A2F30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 乙方应在进场前及每年保单续保后 5 日内，向甲方提交保险单复印件备案；未投保、脱保或者保险额度明显不足以覆盖作业风险的，甲方有权要求乙方停止作业，因此造成的工期延误由乙方自行承担。</w:t>
      </w:r>
    </w:p>
    <w:p w14:paraId="5D4393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 乙方未依法投保导致事故损失无法获得保险赔付的，由乙方自行承担全部赔付责任。</w:t>
      </w:r>
    </w:p>
    <w:p w14:paraId="66899DE3">
      <w:pPr>
        <w:tabs>
          <w:tab w:val="left" w:pos="1200"/>
        </w:tabs>
        <w:spacing w:line="360" w:lineRule="auto"/>
        <w:ind w:firstLine="422" w:firstLineChars="200"/>
        <w:rPr>
          <w:rFonts w:hint="eastAsia" w:ascii="宋体" w:hAnsi="宋体"/>
          <w:b/>
          <w:color w:val="auto"/>
          <w:szCs w:val="21"/>
        </w:rPr>
      </w:pPr>
      <w:r>
        <w:rPr>
          <w:rFonts w:hint="eastAsia" w:ascii="宋体" w:hAnsi="宋体"/>
          <w:b/>
          <w:color w:val="auto"/>
          <w:szCs w:val="21"/>
        </w:rPr>
        <w:t>第</w:t>
      </w:r>
      <w:r>
        <w:rPr>
          <w:rFonts w:hint="eastAsia" w:ascii="宋体" w:hAnsi="宋体"/>
          <w:b/>
          <w:color w:val="auto"/>
          <w:szCs w:val="21"/>
          <w:lang w:val="en-US" w:eastAsia="zh-CN"/>
        </w:rPr>
        <w:t>六</w:t>
      </w:r>
      <w:r>
        <w:rPr>
          <w:rFonts w:hint="eastAsia" w:ascii="宋体" w:hAnsi="宋体"/>
          <w:b/>
          <w:color w:val="auto"/>
          <w:szCs w:val="21"/>
        </w:rPr>
        <w:t>条  应急预案与事故报告</w:t>
      </w:r>
    </w:p>
    <w:p w14:paraId="301218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 乙方应当依据 GB/T 29639—2020《生产经营单位生产安全事故应急预案编制导则》编制针对本作业的现场处置方案（机械伤害、火灾、触电、车辆伤害、中暑、淹溺、坍塌等），报甲方备案，并配备必要的应急器材和急救物品。</w:t>
      </w:r>
    </w:p>
    <w:p w14:paraId="307A7E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 乙方应当组织作业人员进行应急培训；作业期间每年至少组织一次综合或者专项应急预案演练，每半年至少组织一次现场处置方案演练，演练记录报甲方留存。</w:t>
      </w:r>
    </w:p>
    <w:p w14:paraId="0B022A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 发生农机事故（农业机械在作业或者转移过程中造成人身伤亡、财产损失的事件）的，乙方应当立即停止作业、组织抢救，并按规定向事故发生地县级农业农村（农机）主管部门报告；在道路上发生的交通事故，同时报告公安机关交通管理部门。</w:t>
      </w:r>
    </w:p>
    <w:p w14:paraId="7F200A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 发生生产安全事故的，乙方必须立即报告甲方，并在事故发生后 1 小时内向甲方提交事故情况书面快报，同时依照《生产安全事故报告和调查处理条例》的规定及时向事故发生地县级以上人民政府应急管理部门和有关部门报告。不得隐瞒不报、谎报或者迟报。</w:t>
      </w:r>
    </w:p>
    <w:p w14:paraId="79DD4A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5. 事故发生后双方应保护现场、配合调查；因乙方报告不及时、处置不当导致后果扩大的，乙方对扩大部分承担责任。</w:t>
      </w:r>
    </w:p>
    <w:p w14:paraId="3631F2D2">
      <w:pPr>
        <w:tabs>
          <w:tab w:val="left" w:pos="1200"/>
        </w:tabs>
        <w:spacing w:line="360" w:lineRule="auto"/>
        <w:ind w:firstLine="422" w:firstLineChars="200"/>
        <w:rPr>
          <w:rFonts w:hint="eastAsia" w:ascii="宋体" w:hAnsi="宋体"/>
          <w:b/>
          <w:color w:val="auto"/>
          <w:szCs w:val="21"/>
        </w:rPr>
      </w:pPr>
      <w:r>
        <w:rPr>
          <w:rFonts w:hint="eastAsia" w:ascii="宋体" w:hAnsi="宋体"/>
          <w:b/>
          <w:color w:val="auto"/>
          <w:szCs w:val="21"/>
        </w:rPr>
        <w:t>第</w:t>
      </w:r>
      <w:r>
        <w:rPr>
          <w:rFonts w:hint="eastAsia" w:ascii="宋体" w:hAnsi="宋体"/>
          <w:b/>
          <w:color w:val="auto"/>
          <w:szCs w:val="21"/>
          <w:lang w:val="en-US" w:eastAsia="zh-CN"/>
        </w:rPr>
        <w:t>七</w:t>
      </w:r>
      <w:r>
        <w:rPr>
          <w:rFonts w:hint="eastAsia" w:ascii="宋体" w:hAnsi="宋体"/>
          <w:b/>
          <w:color w:val="auto"/>
          <w:szCs w:val="21"/>
        </w:rPr>
        <w:t>条  安全检查与隐患整改</w:t>
      </w:r>
    </w:p>
    <w:p w14:paraId="293F93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 甲方对乙方的安全生产状况进行检查，作业期间每周不少于 1 次；重大风险时段（进场首日、恶劣天气前后、夜间作业、转移作业）应当加密检查。检查情况应当如实记录，由双方现场负责人签字确认。</w:t>
      </w:r>
    </w:p>
    <w:p w14:paraId="379FBA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 乙方应当开展每日班前检查和自查，建立检查台账，对发现的事故隐患立即整改；不能立即整改的，应当采取临时防护措施并限期整改。</w:t>
      </w:r>
    </w:p>
    <w:p w14:paraId="687C0B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 对甲方下达的《隐患整改通知书》，乙方应当在通知要求的期限内完成整改并书面反馈；逾期未整改或者整改不到位的，甲方有权暂停作业、按附件《安全违约处罚细则》主张违约金，直至解除合同。</w:t>
      </w:r>
    </w:p>
    <w:p w14:paraId="3E75B1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 乙方有权拒绝甲方的违章指挥和强令冒险作业，有权对甲方的安全生产工作提出建议。</w:t>
      </w:r>
    </w:p>
    <w:p w14:paraId="162EFF03">
      <w:pPr>
        <w:tabs>
          <w:tab w:val="left" w:pos="1200"/>
        </w:tabs>
        <w:spacing w:line="360" w:lineRule="auto"/>
        <w:ind w:firstLine="422" w:firstLineChars="200"/>
        <w:rPr>
          <w:rFonts w:hint="eastAsia" w:ascii="宋体" w:hAnsi="宋体"/>
          <w:b/>
          <w:color w:val="auto"/>
          <w:szCs w:val="21"/>
        </w:rPr>
      </w:pPr>
      <w:r>
        <w:rPr>
          <w:rFonts w:hint="eastAsia" w:ascii="宋体" w:hAnsi="宋体"/>
          <w:b/>
          <w:color w:val="auto"/>
          <w:szCs w:val="21"/>
        </w:rPr>
        <w:t>第</w:t>
      </w:r>
      <w:r>
        <w:rPr>
          <w:rFonts w:hint="eastAsia" w:ascii="宋体" w:hAnsi="宋体"/>
          <w:b/>
          <w:color w:val="auto"/>
          <w:szCs w:val="21"/>
          <w:lang w:val="en-US" w:eastAsia="zh-CN"/>
        </w:rPr>
        <w:t>八</w:t>
      </w:r>
      <w:r>
        <w:rPr>
          <w:rFonts w:hint="eastAsia" w:ascii="宋体" w:hAnsi="宋体"/>
          <w:b/>
          <w:color w:val="auto"/>
          <w:szCs w:val="21"/>
        </w:rPr>
        <w:t>条  责任分担与违约责任</w:t>
      </w:r>
    </w:p>
    <w:p w14:paraId="5F22F2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 因乙方违反法律法规、本协议或者操作规程导致的生产安全事故、农机事故、火灾事故、环境污染事件以及第三方人身财产损害，由乙方承担相应责任，并赔偿甲方因此遭受的损失；甲方依照法律规定先行承担赔偿责任、行政责任或者连带赔偿责任的，有权向乙方全额追偿。本款不免除甲方依法应当履行的安全生产管理职责和义务，亦不得用于对抗第三人。</w:t>
      </w:r>
    </w:p>
    <w:p w14:paraId="0CC1F4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 甲方未履行统一协调、管理、书面安全交底、定期检查等法定义务，对事故发生负有责任的，依法承担相应责任。</w:t>
      </w:r>
    </w:p>
    <w:p w14:paraId="6673A5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 甲方应当事先书面催告并给予合理整改期限（紧急情形下可立即要求停止作业）；乙方在期限内完成整改并消除影响的，不再主张。</w:t>
      </w:r>
    </w:p>
    <w:p w14:paraId="5DD59A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4</w:t>
      </w:r>
      <w:r>
        <w:rPr>
          <w:rFonts w:hint="eastAsia"/>
        </w:rPr>
        <w:t>. 本协议所称损失，指直接损失以及甲方依法对外承担的赔偿款、罚款、事故救援与善后费用、鉴定费、律师费等合理支出；甲方主张损失赔偿的，应当就损失金额提供相应凭证。</w:t>
      </w:r>
    </w:p>
    <w:p w14:paraId="7FEE92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5</w:t>
      </w:r>
      <w:r>
        <w:rPr>
          <w:rFonts w:hint="eastAsia"/>
        </w:rPr>
        <w:t>. 违约金不足以弥补甲方损失的，乙方应当就不足部分予以赔偿；甲方因同一违约行为已主张违约金的，另行主张赔偿时应当扣除已付违约金。</w:t>
      </w:r>
    </w:p>
    <w:p w14:paraId="488A1FCD">
      <w:pPr>
        <w:tabs>
          <w:tab w:val="left" w:pos="1200"/>
        </w:tabs>
        <w:spacing w:line="360" w:lineRule="auto"/>
        <w:ind w:firstLine="422" w:firstLineChars="200"/>
        <w:rPr>
          <w:rFonts w:hint="eastAsia" w:ascii="宋体" w:hAnsi="宋体"/>
          <w:b/>
          <w:color w:val="auto"/>
          <w:szCs w:val="21"/>
        </w:rPr>
      </w:pPr>
      <w:r>
        <w:rPr>
          <w:rFonts w:hint="eastAsia" w:ascii="宋体" w:hAnsi="宋体"/>
          <w:b/>
          <w:color w:val="auto"/>
          <w:szCs w:val="21"/>
        </w:rPr>
        <w:t>第十条  附则</w:t>
      </w:r>
    </w:p>
    <w:p w14:paraId="402FC5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 本协议有效期自 ＿＿ 年 ＿＿ 月 ＿＿ 日起至 ＿＿ 年 ＿＿ 月 ＿＿ 日止；与主作业服务合同期限不一致的，以主合同为准，主合同延期的，本协议随之延期。</w:t>
      </w:r>
    </w:p>
    <w:p w14:paraId="2E0724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 本协议履行过程中发生争议，由双方协商解决；协商不成的，可向甲方所在地人民法院起诉。</w:t>
      </w:r>
    </w:p>
    <w:p w14:paraId="31283C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 本协议一式四份，甲方执二份、乙方执二份，双方法定代表人（或授权代表）签字并加盖公章后生效。</w:t>
      </w:r>
    </w:p>
    <w:p w14:paraId="5016B1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 本协议未尽事宜，按主合同及国家、地方有关规定执行；相关规定发生变化的，按变化后的规定执行。</w:t>
      </w:r>
    </w:p>
    <w:p w14:paraId="720297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8EC0E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甲方（盖章）：                          乙方（盖章）：</w:t>
      </w:r>
    </w:p>
    <w:p w14:paraId="4E54CC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030444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法定代表人（或授权代表）签字：          法定代表人（或授权代表）签字：</w:t>
      </w:r>
    </w:p>
    <w:p w14:paraId="228EFF8C">
      <w:pPr>
        <w:rPr>
          <w:rFonts w:hint="eastAsia"/>
        </w:rPr>
      </w:pPr>
    </w:p>
    <w:p w14:paraId="2C8773E7">
      <w:pPr>
        <w:jc w:val="center"/>
        <w:rPr>
          <w:rFonts w:hint="eastAsia"/>
        </w:rPr>
      </w:pPr>
      <w:r>
        <w:rPr>
          <w:rFonts w:hint="eastAsia"/>
        </w:rPr>
        <w:t xml:space="preserve">      年    月    日                            年    月    日</w:t>
      </w:r>
    </w:p>
    <w:p w14:paraId="318FA215">
      <w:pPr>
        <w:jc w:val="center"/>
        <w:rPr>
          <w:rFonts w:hint="eastAsia"/>
        </w:rPr>
      </w:pPr>
    </w:p>
    <w:p w14:paraId="10FDFEE1">
      <w:pPr>
        <w:rPr>
          <w:rFonts w:hint="eastAsia"/>
        </w:rPr>
      </w:pPr>
      <w:r>
        <w:rPr>
          <w:rFonts w:hint="eastAsia"/>
        </w:rPr>
        <w:br w:type="page"/>
      </w:r>
    </w:p>
    <w:p w14:paraId="747732C8">
      <w:pPr>
        <w:spacing w:line="360" w:lineRule="auto"/>
        <w:rPr>
          <w:rFonts w:hint="default" w:ascii="宋体"/>
          <w:b/>
          <w:bCs/>
          <w:sz w:val="28"/>
          <w:szCs w:val="28"/>
          <w:lang w:val="en-US" w:eastAsia="zh-CN"/>
        </w:rPr>
      </w:pPr>
      <w:r>
        <w:rPr>
          <w:rFonts w:hint="eastAsia" w:ascii="宋体"/>
          <w:b/>
          <w:bCs/>
          <w:sz w:val="28"/>
          <w:szCs w:val="28"/>
          <w:lang w:val="en-US" w:eastAsia="zh-CN"/>
        </w:rPr>
        <w:t>三、安全告知书</w:t>
      </w:r>
    </w:p>
    <w:p w14:paraId="22DF349B">
      <w:pPr>
        <w:spacing w:after="100" w:afterAutospacing="1" w:line="440" w:lineRule="exact"/>
        <w:jc w:val="center"/>
        <w:rPr>
          <w:rFonts w:ascii="宋体" w:hAnsi="宋体" w:cs="宋体"/>
          <w:bCs/>
          <w:sz w:val="28"/>
          <w:szCs w:val="28"/>
          <w:u w:val="single"/>
        </w:rPr>
      </w:pPr>
      <w:r>
        <w:rPr>
          <w:rFonts w:hint="eastAsia" w:ascii="仿宋_GB2312" w:hAnsi="仿宋_GB2312" w:eastAsia="仿宋_GB2312" w:cs="仿宋_GB2312"/>
          <w:b/>
          <w:bCs w:val="0"/>
          <w:sz w:val="32"/>
          <w:szCs w:val="32"/>
        </w:rPr>
        <w:t xml:space="preserve">安全告知书 </w:t>
      </w:r>
      <w:r>
        <w:rPr>
          <w:rFonts w:hint="eastAsia" w:ascii="仿宋_GB2312" w:hAnsi="仿宋_GB2312" w:eastAsia="仿宋_GB2312" w:cs="仿宋_GB2312"/>
          <w:bCs/>
          <w:sz w:val="32"/>
          <w:szCs w:val="32"/>
        </w:rPr>
        <w:t xml:space="preserve">       </w:t>
      </w:r>
      <w:r>
        <w:rPr>
          <w:rFonts w:hint="eastAsia" w:ascii="宋体" w:hAnsi="宋体" w:cs="宋体"/>
          <w:bCs/>
          <w:sz w:val="28"/>
          <w:szCs w:val="28"/>
        </w:rPr>
        <w:t xml:space="preserve">    </w:t>
      </w:r>
    </w:p>
    <w:p w14:paraId="587FB15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eastAsia="宋体"/>
          <w:szCs w:val="21"/>
          <w:lang w:eastAsia="zh-CN"/>
        </w:rPr>
      </w:pPr>
      <w:r>
        <w:rPr>
          <w:rFonts w:hint="eastAsia"/>
          <w:szCs w:val="21"/>
          <w:u w:val="single"/>
        </w:rPr>
        <w:t xml:space="preserve">                            </w:t>
      </w:r>
      <w:r>
        <w:rPr>
          <w:rFonts w:hint="eastAsia"/>
          <w:szCs w:val="21"/>
          <w:u w:val="single"/>
          <w:lang w:eastAsia="zh-CN"/>
        </w:rPr>
        <w:t>：</w:t>
      </w:r>
    </w:p>
    <w:p w14:paraId="7F7CB3E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s="宋体"/>
          <w:szCs w:val="21"/>
        </w:rPr>
      </w:pPr>
      <w:r>
        <w:rPr>
          <w:rFonts w:hint="eastAsia"/>
          <w:szCs w:val="21"/>
        </w:rPr>
        <w:t xml:space="preserve">    </w:t>
      </w:r>
      <w:r>
        <w:rPr>
          <w:rFonts w:hint="eastAsia" w:ascii="宋体" w:hAnsi="宋体" w:cs="宋体"/>
          <w:szCs w:val="21"/>
        </w:rPr>
        <w:t xml:space="preserve"> 为深入贯彻落实《安全生产法》《江苏省安全生产条例》等法律法规，做好</w:t>
      </w:r>
      <w:r>
        <w:rPr>
          <w:rFonts w:hint="eastAsia" w:ascii="宋体" w:hAnsi="宋体" w:cs="宋体"/>
          <w:szCs w:val="21"/>
          <w:lang w:val="en-US" w:eastAsia="zh-CN"/>
        </w:rPr>
        <w:t>双方约定的经营活动安全管理工作</w:t>
      </w:r>
      <w:r>
        <w:rPr>
          <w:rFonts w:hint="eastAsia" w:ascii="宋体" w:hAnsi="宋体" w:cs="宋体"/>
          <w:szCs w:val="21"/>
        </w:rPr>
        <w:t>，现将</w:t>
      </w:r>
      <w:r>
        <w:rPr>
          <w:rFonts w:hint="eastAsia" w:ascii="宋体" w:hAnsi="宋体" w:cs="宋体"/>
          <w:szCs w:val="21"/>
          <w:lang w:val="en-US" w:eastAsia="zh-CN"/>
        </w:rPr>
        <w:t>有关</w:t>
      </w:r>
      <w:r>
        <w:rPr>
          <w:rFonts w:hint="eastAsia" w:ascii="宋体" w:hAnsi="宋体" w:cs="宋体"/>
          <w:szCs w:val="21"/>
        </w:rPr>
        <w:t>安全事项告知如下：</w:t>
      </w:r>
    </w:p>
    <w:p w14:paraId="3AC409E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pPr>
      <w:r>
        <w:rPr>
          <w:rFonts w:hint="eastAsia"/>
          <w:lang w:val="en-US" w:eastAsia="zh-CN"/>
        </w:rPr>
        <w:t>你单位</w:t>
      </w:r>
      <w:r>
        <w:t>是</w:t>
      </w:r>
      <w:r>
        <w:rPr>
          <w:rFonts w:hint="eastAsia"/>
          <w:lang w:val="en-US" w:eastAsia="zh-CN"/>
        </w:rPr>
        <w:t>本业务活动的</w:t>
      </w:r>
      <w:r>
        <w:t>安全生产责任主体，主要负责人必须履行安全生产法定职责，对本单位的安全生产工作全面负责。应当具备新《安全生产法》和有关法律、行政法规和国家标准或者行业标准规定的安全生产条件</w:t>
      </w:r>
      <w:r>
        <w:rPr>
          <w:rFonts w:hint="eastAsia"/>
          <w:lang w:eastAsia="zh-CN"/>
        </w:rPr>
        <w:t>；</w:t>
      </w:r>
      <w:r>
        <w:t>不具备安全生产条件的，不得从事生产经营活动。</w:t>
      </w:r>
    </w:p>
    <w:p w14:paraId="137EC8E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u w:val="single"/>
        </w:rPr>
      </w:pPr>
      <w:r>
        <w:rPr>
          <w:rFonts w:hint="eastAsia"/>
          <w:lang w:val="en-US" w:eastAsia="zh-CN"/>
        </w:rPr>
        <w:t>业务</w:t>
      </w:r>
      <w:r>
        <w:rPr>
          <w:rFonts w:hint="eastAsia"/>
        </w:rPr>
        <w:t>区域设备设施危险源点：</w:t>
      </w:r>
      <w:r>
        <w:rPr>
          <w:rFonts w:hint="eastAsia"/>
          <w:u w:val="single"/>
        </w:rPr>
        <w:t xml:space="preserve">        </w:t>
      </w:r>
      <w:r>
        <w:rPr>
          <w:rFonts w:hint="eastAsia"/>
          <w:u w:val="single"/>
          <w:lang w:val="en-US" w:eastAsia="zh-CN"/>
        </w:rPr>
        <w:t xml:space="preserve">机械碰伤                  </w:t>
      </w:r>
    </w:p>
    <w:p w14:paraId="37B3D7C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rPr>
      </w:pPr>
      <w:r>
        <w:rPr>
          <w:rFonts w:hint="eastAsia"/>
        </w:rPr>
        <w:t>周边环境及可能存在的风险：</w:t>
      </w:r>
      <w:r>
        <w:rPr>
          <w:rFonts w:hint="eastAsia"/>
          <w:u w:val="single"/>
        </w:rPr>
        <w:t xml:space="preserve">        </w:t>
      </w:r>
      <w:r>
        <w:rPr>
          <w:rFonts w:hint="eastAsia"/>
          <w:u w:val="single"/>
          <w:lang w:val="en-US" w:eastAsia="zh-CN"/>
        </w:rPr>
        <w:t xml:space="preserve">道路交通                  </w:t>
      </w:r>
    </w:p>
    <w:p w14:paraId="6C56F2A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ascii="Times New Roman" w:hAnsi="Times New Roman" w:eastAsia="宋体" w:cs="Times New Roman"/>
        </w:rPr>
      </w:pPr>
      <w:r>
        <w:rPr>
          <w:rFonts w:hint="eastAsia" w:ascii="Times New Roman" w:hAnsi="Times New Roman" w:eastAsia="宋体" w:cs="Times New Roman"/>
          <w:lang w:val="en-US" w:eastAsia="zh-CN"/>
        </w:rPr>
        <w:t>业务活动</w:t>
      </w:r>
      <w:r>
        <w:rPr>
          <w:rFonts w:hint="eastAsia" w:ascii="Times New Roman" w:hAnsi="Times New Roman" w:eastAsia="宋体" w:cs="Times New Roman"/>
        </w:rPr>
        <w:t>用电负荷：</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u w:val="single"/>
          <w:lang w:val="en-US" w:eastAsia="zh-CN"/>
        </w:rPr>
        <w:t xml:space="preserve">      </w:t>
      </w:r>
      <w:r>
        <w:rPr>
          <w:rFonts w:hint="eastAsia" w:ascii="Times New Roman" w:hAnsi="Times New Roman" w:eastAsia="宋体" w:cs="Times New Roman"/>
          <w:u w:val="single"/>
        </w:rPr>
        <w:t xml:space="preserve">      </w:t>
      </w:r>
      <w:r>
        <w:rPr>
          <w:rFonts w:hint="eastAsia" w:ascii="Times New Roman" w:hAnsi="Times New Roman" w:eastAsia="宋体" w:cs="Times New Roman"/>
        </w:rPr>
        <w:t xml:space="preserve"> </w:t>
      </w:r>
      <w:r>
        <w:rPr>
          <w:rFonts w:hint="eastAsia" w:ascii="Times New Roman" w:hAnsi="Times New Roman" w:eastAsia="宋体" w:cs="Times New Roman"/>
          <w:lang w:eastAsia="zh-CN"/>
        </w:rPr>
        <w:t>kW</w:t>
      </w:r>
      <w:r>
        <w:rPr>
          <w:rFonts w:hint="eastAsia" w:ascii="Times New Roman" w:hAnsi="Times New Roman" w:eastAsia="宋体" w:cs="Times New Roman"/>
        </w:rPr>
        <w:t>。</w:t>
      </w:r>
    </w:p>
    <w:p w14:paraId="79C697A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default" w:ascii="Times New Roman" w:hAnsi="Times New Roman" w:eastAsia="宋体" w:cs="Times New Roman"/>
          <w:lang w:val="en-US" w:eastAsia="zh-CN"/>
        </w:rPr>
      </w:pPr>
      <w:r>
        <w:rPr>
          <w:rFonts w:hint="eastAsia" w:ascii="Times New Roman" w:hAnsi="Times New Roman" w:eastAsia="宋体" w:cs="Times New Roman"/>
        </w:rPr>
        <w:t>按照国家有关规定，需根据</w:t>
      </w:r>
      <w:r>
        <w:rPr>
          <w:rFonts w:hint="eastAsia" w:ascii="Times New Roman" w:hAnsi="Times New Roman" w:eastAsia="宋体" w:cs="Times New Roman"/>
          <w:lang w:val="en-US" w:eastAsia="zh-CN"/>
        </w:rPr>
        <w:t>经营活动</w:t>
      </w:r>
      <w:r>
        <w:rPr>
          <w:rFonts w:hint="eastAsia" w:ascii="Times New Roman" w:hAnsi="Times New Roman" w:eastAsia="宋体" w:cs="Times New Roman"/>
        </w:rPr>
        <w:t>安全危害因素配备符合标准的安全防护措施，并发放个人安全防护用品，要求在工作中按照要求正确佩戴。</w:t>
      </w:r>
    </w:p>
    <w:p w14:paraId="0BC16E9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rPr>
        <w:t>落实消防安全管理</w:t>
      </w:r>
      <w:r>
        <w:rPr>
          <w:rFonts w:hint="eastAsia" w:ascii="Times New Roman" w:hAnsi="Times New Roman" w:eastAsia="宋体" w:cs="Times New Roman"/>
          <w:highlight w:val="none"/>
          <w:lang w:val="en-US" w:eastAsia="zh-CN"/>
        </w:rPr>
        <w:t>责任</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规范配备和合理使用消防设施，定期开展</w:t>
      </w:r>
      <w:r>
        <w:rPr>
          <w:rFonts w:hint="eastAsia" w:ascii="Times New Roman" w:hAnsi="Times New Roman" w:eastAsia="宋体" w:cs="Times New Roman"/>
          <w:highlight w:val="none"/>
        </w:rPr>
        <w:t>消防</w:t>
      </w:r>
      <w:r>
        <w:rPr>
          <w:rFonts w:hint="eastAsia" w:ascii="Times New Roman" w:hAnsi="Times New Roman" w:eastAsia="宋体" w:cs="Times New Roman"/>
          <w:highlight w:val="none"/>
          <w:lang w:val="en-US" w:eastAsia="zh-CN"/>
        </w:rPr>
        <w:t>风险隐患检查整改并建立台账，做好记录</w:t>
      </w:r>
      <w:r>
        <w:rPr>
          <w:rFonts w:hint="eastAsia" w:ascii="Times New Roman" w:hAnsi="Times New Roman" w:eastAsia="宋体" w:cs="Times New Roman"/>
          <w:highlight w:val="none"/>
        </w:rPr>
        <w:t>。</w:t>
      </w:r>
    </w:p>
    <w:p w14:paraId="2F5D2F4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highlight w:val="none"/>
        </w:rPr>
      </w:pPr>
      <w:r>
        <w:rPr>
          <w:rFonts w:hint="eastAsia"/>
          <w:highlight w:val="none"/>
        </w:rPr>
        <w:t>保持疏散通道、安全出口和消防车通道畅通，不得在门窗安装固定铁栅栏、广告牌等影响逃生和灭火救援的障碍物，不得擅自改变建筑结构和用途，不得违规使用易燃、可燃材料装修装饰，保证防火间距、防火分隔、防火分区符合消防技术标准。</w:t>
      </w:r>
    </w:p>
    <w:p w14:paraId="52B2268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highlight w:val="none"/>
        </w:rPr>
      </w:pPr>
      <w:r>
        <w:rPr>
          <w:rFonts w:hint="eastAsia"/>
          <w:highlight w:val="none"/>
        </w:rPr>
        <w:t>加强用火、用电、用气的安全管理。不得私接电线，大功率电器线路应单独穿管敷设。电动自行车应远离可燃物停放，人走时必须“关火、关电、关气”。 </w:t>
      </w:r>
    </w:p>
    <w:p w14:paraId="2823362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highlight w:val="none"/>
        </w:rPr>
      </w:pPr>
      <w:r>
        <w:rPr>
          <w:rFonts w:hint="eastAsia"/>
          <w:highlight w:val="none"/>
        </w:rPr>
        <w:t>不得违法违规储存、经营、使用易燃易爆有毒等危险物品 。</w:t>
      </w:r>
    </w:p>
    <w:p w14:paraId="0B27C0E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rPr>
      </w:pPr>
      <w:r>
        <w:rPr>
          <w:rFonts w:hint="eastAsia"/>
          <w:highlight w:val="none"/>
        </w:rPr>
        <w:t>进行临时用电、吊装、高处作业等特殊作业，应强化票证管理，落实安全</w:t>
      </w:r>
      <w:r>
        <w:rPr>
          <w:rFonts w:hint="eastAsia"/>
        </w:rPr>
        <w:t>防护措施，监护人现场监护。</w:t>
      </w:r>
    </w:p>
    <w:p w14:paraId="1412F4F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现场所有从事特种作业的所有人员要持证上岗，证件在有效期内且人证合一。</w:t>
      </w:r>
    </w:p>
    <w:p w14:paraId="142110A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5" w:leftChars="0" w:firstLine="425" w:firstLineChars="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你方人员要加强实名制管理，未经同意不得私自进入我方管理区域或生产区域。</w:t>
      </w:r>
    </w:p>
    <w:p w14:paraId="28C52B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13.遵守甲方安全管理规定和劳动纪律，</w:t>
      </w:r>
      <w:r>
        <w:rPr>
          <w:rFonts w:hint="eastAsia" w:ascii="Times New Roman" w:hAnsi="Times New Roman" w:eastAsia="宋体" w:cs="Times New Roman"/>
          <w:kern w:val="2"/>
          <w:sz w:val="21"/>
          <w:szCs w:val="24"/>
          <w:lang w:val="en-US" w:eastAsia="zh-CN" w:bidi="ar-SA"/>
        </w:rPr>
        <w:t>你方人员进入厂区（租赁场所）的人员、车辆等，服从</w:t>
      </w:r>
      <w:r>
        <w:rPr>
          <w:rFonts w:hint="eastAsia" w:ascii="Times New Roman" w:hAnsi="Times New Roman" w:eastAsia="宋体" w:cs="Times New Roman"/>
          <w:lang w:val="en-US" w:eastAsia="zh-CN"/>
        </w:rPr>
        <w:t>甲方安管人员、保卫人员等管理，</w:t>
      </w:r>
      <w:r>
        <w:rPr>
          <w:rFonts w:hint="eastAsia" w:ascii="Times New Roman" w:hAnsi="Times New Roman" w:eastAsia="宋体" w:cs="Times New Roman"/>
          <w:kern w:val="2"/>
          <w:sz w:val="21"/>
          <w:szCs w:val="24"/>
          <w:lang w:val="en-US" w:eastAsia="zh-CN" w:bidi="ar-SA"/>
        </w:rPr>
        <w:t>未经甲方批准不得作业，</w:t>
      </w:r>
      <w:r>
        <w:rPr>
          <w:rFonts w:hint="eastAsia" w:ascii="Times New Roman" w:hAnsi="Times New Roman" w:eastAsia="宋体" w:cs="Times New Roman"/>
          <w:lang w:val="en-US" w:eastAsia="zh-CN"/>
        </w:rPr>
        <w:t>不得利用我方设施从事或变相从事与合同约定无关的活动。</w:t>
      </w:r>
    </w:p>
    <w:p w14:paraId="253B8E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20" w:firstLineChars="200"/>
        <w:jc w:val="left"/>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14.针对经营活动中风险状况和作业人员现状，严格</w:t>
      </w:r>
      <w:r>
        <w:rPr>
          <w:rFonts w:hint="eastAsia" w:ascii="Times New Roman" w:hAnsi="Times New Roman" w:eastAsia="宋体" w:cs="Times New Roman"/>
        </w:rPr>
        <w:t>执行安全技术交底制度</w:t>
      </w:r>
      <w:r>
        <w:rPr>
          <w:rFonts w:hint="eastAsia" w:ascii="Times New Roman" w:hAnsi="Times New Roman" w:eastAsia="宋体" w:cs="Times New Roman"/>
          <w:lang w:eastAsia="zh-CN"/>
        </w:rPr>
        <w:t>，</w:t>
      </w:r>
      <w:r>
        <w:rPr>
          <w:rFonts w:hint="eastAsia" w:ascii="Times New Roman" w:hAnsi="Times New Roman" w:eastAsia="宋体" w:cs="Times New Roman"/>
        </w:rPr>
        <w:t>全面细致地对全体作业人员进行交底，并实行跟踪管理，确保交底</w:t>
      </w:r>
      <w:r>
        <w:rPr>
          <w:rFonts w:hint="eastAsia" w:ascii="Times New Roman" w:hAnsi="Times New Roman" w:eastAsia="宋体" w:cs="Times New Roman"/>
          <w:lang w:val="en-US" w:eastAsia="zh-CN"/>
        </w:rPr>
        <w:t>内容</w:t>
      </w:r>
      <w:r>
        <w:rPr>
          <w:rFonts w:hint="eastAsia" w:ascii="Times New Roman" w:hAnsi="Times New Roman" w:eastAsia="宋体" w:cs="Times New Roman"/>
        </w:rPr>
        <w:t>的贯彻实施，并做好交底签字记录。</w:t>
      </w:r>
    </w:p>
    <w:p w14:paraId="40E91F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20" w:firstLineChars="200"/>
        <w:jc w:val="left"/>
        <w:textAlignment w:val="auto"/>
        <w:rPr>
          <w:rFonts w:hint="eastAsia" w:ascii="Times New Roman" w:hAnsi="Times New Roman" w:eastAsia="宋体" w:cs="Times New Roman"/>
        </w:rPr>
      </w:pPr>
      <w:r>
        <w:rPr>
          <w:rFonts w:hint="eastAsia" w:ascii="Times New Roman" w:hAnsi="Times New Roman" w:eastAsia="宋体" w:cs="Times New Roman"/>
          <w:lang w:val="en-US" w:eastAsia="zh-CN"/>
        </w:rPr>
        <w:t>15.</w:t>
      </w:r>
      <w:r>
        <w:rPr>
          <w:rFonts w:hint="eastAsia" w:ascii="Times New Roman" w:hAnsi="Times New Roman" w:eastAsia="宋体" w:cs="Times New Roman"/>
        </w:rPr>
        <w:t>注意其他应避免的安全隐患。</w:t>
      </w:r>
    </w:p>
    <w:p w14:paraId="6BBF64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20" w:firstLineChars="200"/>
        <w:jc w:val="left"/>
        <w:textAlignment w:val="auto"/>
        <w:rPr>
          <w:rFonts w:hint="eastAsia"/>
        </w:rPr>
      </w:pPr>
      <w:r>
        <w:rPr>
          <w:rFonts w:hint="eastAsia" w:ascii="Times New Roman" w:hAnsi="Times New Roman" w:eastAsia="宋体" w:cs="Times New Roman"/>
          <w:lang w:val="en-US" w:eastAsia="zh-CN"/>
        </w:rPr>
        <w:t>16.</w:t>
      </w:r>
      <w:r>
        <w:rPr>
          <w:rFonts w:hint="eastAsia" w:ascii="Times New Roman" w:hAnsi="Times New Roman" w:eastAsia="宋体" w:cs="Times New Roman"/>
        </w:rPr>
        <w:t>发生异常及时通知我方。</w:t>
      </w:r>
    </w:p>
    <w:p w14:paraId="62E05D10">
      <w:pPr>
        <w:pStyle w:val="5"/>
        <w:rPr>
          <w:rFonts w:hint="eastAsia"/>
        </w:rPr>
      </w:pPr>
    </w:p>
    <w:p w14:paraId="7010676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s="宋体"/>
          <w:szCs w:val="21"/>
        </w:rPr>
      </w:pPr>
      <w:r>
        <w:rPr>
          <w:rFonts w:hint="eastAsia" w:ascii="宋体" w:hAnsi="宋体" w:cs="宋体"/>
          <w:szCs w:val="21"/>
        </w:rPr>
        <w:t xml:space="preserve">      告知方：                               </w:t>
      </w:r>
      <w:r>
        <w:rPr>
          <w:rFonts w:hint="eastAsia" w:ascii="宋体" w:hAnsi="宋体" w:cs="宋体"/>
          <w:szCs w:val="21"/>
          <w:lang w:val="en-US" w:eastAsia="zh-CN"/>
        </w:rPr>
        <w:t>被</w:t>
      </w:r>
      <w:r>
        <w:rPr>
          <w:rFonts w:hint="eastAsia" w:ascii="宋体" w:hAnsi="宋体" w:cs="宋体"/>
          <w:szCs w:val="21"/>
        </w:rPr>
        <w:t xml:space="preserve">告知方：                                            </w:t>
      </w:r>
    </w:p>
    <w:p w14:paraId="7B1F31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s="宋体"/>
          <w:szCs w:val="21"/>
        </w:rPr>
      </w:pPr>
    </w:p>
    <w:p w14:paraId="5DA5083F">
      <w:pPr>
        <w:pStyle w:val="5"/>
        <w:rPr>
          <w:rFonts w:hint="eastAsia"/>
        </w:rPr>
      </w:pPr>
    </w:p>
    <w:p w14:paraId="4C506796">
      <w:pPr>
        <w:jc w:val="center"/>
        <w:rPr>
          <w:rFonts w:hint="eastAsia"/>
        </w:rPr>
      </w:pPr>
      <w:r>
        <w:rPr>
          <w:rFonts w:hint="eastAsia" w:ascii="宋体" w:hAnsi="宋体" w:cs="宋体"/>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思源黑体">
    <w:altName w:val="黑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EC29C7"/>
    <w:multiLevelType w:val="multilevel"/>
    <w:tmpl w:val="49EC29C7"/>
    <w:lvl w:ilvl="0" w:tentative="0">
      <w:start w:val="1"/>
      <w:numFmt w:val="decimal"/>
      <w:lvlText w:val="%1."/>
      <w:lvlJc w:val="left"/>
      <w:pPr>
        <w:ind w:left="273" w:hanging="420"/>
      </w:pPr>
      <w:rPr>
        <w:rFonts w:hint="eastAsia"/>
      </w:rPr>
    </w:lvl>
    <w:lvl w:ilvl="1" w:tentative="0">
      <w:start w:val="1"/>
      <w:numFmt w:val="lowerLetter"/>
      <w:lvlText w:val="%2)"/>
      <w:lvlJc w:val="left"/>
      <w:pPr>
        <w:ind w:left="693" w:hanging="420"/>
      </w:pPr>
    </w:lvl>
    <w:lvl w:ilvl="2" w:tentative="0">
      <w:start w:val="1"/>
      <w:numFmt w:val="lowerRoman"/>
      <w:lvlText w:val="%3."/>
      <w:lvlJc w:val="right"/>
      <w:pPr>
        <w:ind w:left="1113" w:hanging="420"/>
      </w:pPr>
    </w:lvl>
    <w:lvl w:ilvl="3" w:tentative="0">
      <w:start w:val="1"/>
      <w:numFmt w:val="decimal"/>
      <w:lvlText w:val="%4."/>
      <w:lvlJc w:val="left"/>
      <w:pPr>
        <w:ind w:left="1533" w:hanging="420"/>
      </w:pPr>
    </w:lvl>
    <w:lvl w:ilvl="4" w:tentative="0">
      <w:start w:val="1"/>
      <w:numFmt w:val="lowerLetter"/>
      <w:lvlText w:val="%5)"/>
      <w:lvlJc w:val="left"/>
      <w:pPr>
        <w:ind w:left="1953" w:hanging="420"/>
      </w:pPr>
    </w:lvl>
    <w:lvl w:ilvl="5" w:tentative="0">
      <w:start w:val="1"/>
      <w:numFmt w:val="lowerRoman"/>
      <w:lvlText w:val="%6."/>
      <w:lvlJc w:val="right"/>
      <w:pPr>
        <w:ind w:left="2373" w:hanging="420"/>
      </w:pPr>
    </w:lvl>
    <w:lvl w:ilvl="6" w:tentative="0">
      <w:start w:val="1"/>
      <w:numFmt w:val="decimal"/>
      <w:lvlText w:val="%7."/>
      <w:lvlJc w:val="left"/>
      <w:pPr>
        <w:ind w:left="2793" w:hanging="420"/>
      </w:pPr>
    </w:lvl>
    <w:lvl w:ilvl="7" w:tentative="0">
      <w:start w:val="1"/>
      <w:numFmt w:val="lowerLetter"/>
      <w:lvlText w:val="%8)"/>
      <w:lvlJc w:val="left"/>
      <w:pPr>
        <w:ind w:left="3213" w:hanging="420"/>
      </w:pPr>
    </w:lvl>
    <w:lvl w:ilvl="8" w:tentative="0">
      <w:start w:val="1"/>
      <w:numFmt w:val="lowerRoman"/>
      <w:lvlText w:val="%9."/>
      <w:lvlJc w:val="right"/>
      <w:pPr>
        <w:ind w:left="363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E70C0E"/>
    <w:rsid w:val="02567DE4"/>
    <w:rsid w:val="41F133F2"/>
    <w:rsid w:val="43E70C0E"/>
    <w:rsid w:val="47FF1233"/>
    <w:rsid w:val="55860137"/>
    <w:rsid w:val="6B3C7D29"/>
    <w:rsid w:val="751A445D"/>
    <w:rsid w:val="7DD31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rPr>
      <w:kern w:val="0"/>
      <w:sz w:val="20"/>
      <w:szCs w:val="24"/>
    </w:rPr>
  </w:style>
  <w:style w:type="paragraph" w:styleId="3">
    <w:name w:val="Body Text Indent"/>
    <w:basedOn w:val="1"/>
    <w:unhideWhenUsed/>
    <w:qFormat/>
    <w:uiPriority w:val="0"/>
    <w:pPr>
      <w:spacing w:after="120"/>
      <w:ind w:left="420" w:leftChars="200"/>
    </w:p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5">
    <w:name w:val="Body Text First Indent 2"/>
    <w:basedOn w:val="3"/>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8210</Words>
  <Characters>8409</Characters>
  <Lines>0</Lines>
  <Paragraphs>0</Paragraphs>
  <TotalTime>0</TotalTime>
  <ScaleCrop>false</ScaleCrop>
  <LinksUpToDate>false</LinksUpToDate>
  <CharactersWithSpaces>8959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2025-09-29T03:30:00Z</dcterms:created>
  <dc:creator>姜姝妍</dc:creator>
  <cp:lastModifiedBy>姜姝妍</cp:lastModifiedBy>
  <dcterms:modified xsi:type="dcterms:W3CDTF">2026-10-08T10:07:32Z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B837901AA3EA453B82C39339197BEE7F_11</vt:lpwstr>
  </property>
  <property fmtid="{D5CDD505-2E9C-101B-9397-08002B2CF9AE}" pid="4" name="KSOTemplateDocerSaveRecord">
    <vt:lpwstr>eyJoZGlkIjoiMzNkMjljYzI0YWNiOGNhMjllOWY1OTEyMGQ4NGZmNzAiLCJ1c2VySWQiOiIxNTczODgwMzkwIn0=</vt:lpwstr>
  </property>
</Properties>
</file>